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center"/>
        <w:rPr/>
      </w:pPr>
      <w:r>
        <w:rPr>
          <w:rFonts w:ascii="Times New Roman;serif" w:hAnsi="Times New Roman;serif"/>
          <w:b/>
          <w:color w:val="000000"/>
          <w:sz w:val="24"/>
        </w:rPr>
        <w:t>CURRENT REPORT</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576"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7, 2026</w:t>
      </w:r>
    </w:p>
    <w:tbl>
      <w:tblPr>
        <w:tblW w:w="4468" w:type="dxa"/>
        <w:jc w:val="center"/>
        <w:tblInd w:w="0" w:type="dxa"/>
        <w:tblLayout w:type="fixed"/>
        <w:tblCellMar>
          <w:top w:w="28" w:type="dxa"/>
          <w:left w:w="28" w:type="dxa"/>
          <w:bottom w:w="28" w:type="dxa"/>
          <w:right w:w="28" w:type="dxa"/>
        </w:tblCellMar>
      </w:tblPr>
      <w:tblGrid>
        <w:gridCol w:w="532"/>
        <w:gridCol w:w="466"/>
        <w:gridCol w:w="466"/>
        <w:gridCol w:w="466"/>
        <w:gridCol w:w="466"/>
        <w:gridCol w:w="466"/>
        <w:gridCol w:w="466"/>
        <w:gridCol w:w="466"/>
        <w:gridCol w:w="67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4"/>
              </w:rPr>
            </w:pPr>
            <w:r>
              <w:rPr>
                <w:rFonts w:ascii="Times New Roman;serif" w:hAnsi="Times New Roman;serif"/>
                <w:b/>
                <w:color w:val="000000"/>
                <w:sz w:val="44"/>
              </w:rPr>
              <w:t>Avient Corporation</w:t>
            </w:r>
          </w:p>
        </w:tc>
      </w:tr>
      <w:tr>
        <w:trPr/>
        <w:tc>
          <w:tcPr>
            <w:tcW w:w="44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7828" w:type="dxa"/>
        <w:jc w:val="center"/>
        <w:tblInd w:w="0" w:type="dxa"/>
        <w:tblLayout w:type="fixed"/>
        <w:tblCellMar>
          <w:top w:w="28" w:type="dxa"/>
          <w:left w:w="28" w:type="dxa"/>
          <w:bottom w:w="28" w:type="dxa"/>
          <w:right w:w="28" w:type="dxa"/>
        </w:tblCellMar>
      </w:tblPr>
      <w:tblGrid>
        <w:gridCol w:w="1172"/>
        <w:gridCol w:w="1028"/>
        <w:gridCol w:w="1040"/>
        <w:gridCol w:w="682"/>
        <w:gridCol w:w="682"/>
        <w:gridCol w:w="690"/>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1-16091</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34-1730488</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33587 Walker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Avon Lake, Ohio 44012 </w:t>
      </w:r>
    </w:p>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(440) 930-1000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24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        </w:t>
      </w:r>
    </w:p>
    <w:tbl>
      <w:tblPr>
        <w:tblW w:w="9178" w:type="dxa"/>
        <w:jc w:val="left"/>
        <w:tblInd w:w="0" w:type="dxa"/>
        <w:tblLayout w:type="fixed"/>
        <w:tblCellMar>
          <w:top w:w="28" w:type="dxa"/>
          <w:left w:w="28" w:type="dxa"/>
          <w:bottom w:w="28" w:type="dxa"/>
          <w:right w:w="28" w:type="dxa"/>
        </w:tblCellMar>
      </w:tblPr>
      <w:tblGrid>
        <w:gridCol w:w="1322"/>
        <w:gridCol w:w="1162"/>
        <w:gridCol w:w="1175"/>
        <w:gridCol w:w="564"/>
        <w:gridCol w:w="564"/>
        <w:gridCol w:w="566"/>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par value $.01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AVNT</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7, 2026, the Registrant issued a press release, furnished herewith as Exhibit 99.1, announcing earnings for the first quarter of 2026. The press release shall not be deemed to be “filed” under the Securities Exchange Act of 1934.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411" w:type="dxa"/>
        <w:jc w:val="center"/>
        <w:tblInd w:w="0" w:type="dxa"/>
        <w:tblLayout w:type="fixed"/>
        <w:tblCellMar>
          <w:top w:w="28" w:type="dxa"/>
          <w:left w:w="28" w:type="dxa"/>
          <w:bottom w:w="28" w:type="dxa"/>
          <w:right w:w="28" w:type="dxa"/>
        </w:tblCellMar>
      </w:tblPr>
      <w:tblGrid>
        <w:gridCol w:w="277"/>
        <w:gridCol w:w="244"/>
        <w:gridCol w:w="245"/>
        <w:gridCol w:w="1943"/>
        <w:gridCol w:w="1943"/>
        <w:gridCol w:w="2759"/>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vnt-20260331xnewsrelease.htm">
              <w:r>
                <w:rPr>
                  <w:rStyle w:val="InternetLink"/>
                  <w:rFonts w:ascii="Times New Roman;serif" w:hAnsi="Times New Roman;serif"/>
                  <w:b w:val="false"/>
                  <w:color w:val="0000FF"/>
                  <w:sz w:val="20"/>
                  <w:u w:val="single"/>
                </w:rPr>
                <w:t>99.1</w:t>
              </w:r>
            </w:hyperlink>
          </w:p>
        </w:tc>
        <w:tc>
          <w:tcPr>
            <w:tcW w:w="664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vnt-20260331xnewsrelease.htm">
              <w:r>
                <w:rPr>
                  <w:rStyle w:val="InternetLink"/>
                  <w:rFonts w:ascii="Times New Roman;serif" w:hAnsi="Times New Roman;serif"/>
                  <w:b w:val="false"/>
                  <w:color w:val="000080"/>
                  <w:sz w:val="20"/>
                  <w:u w:val="single"/>
                </w:rPr>
                <w:t xml:space="preserve">Press release dated </w:t>
              </w:r>
            </w:hyperlink>
            <w:hyperlink w:anchor="avnt-20260331xnewsrelease.htm">
              <w:r>
                <w:rPr>
                  <w:rStyle w:val="InternetLink"/>
                  <w:rFonts w:ascii="Times New Roman;serif" w:hAnsi="Times New Roman;serif"/>
                  <w:b w:val="false"/>
                  <w:color w:val="000080"/>
                  <w:sz w:val="20"/>
                  <w:u w:val="single"/>
                </w:rPr>
                <w:t>May 7, 2026</w:t>
              </w:r>
            </w:hyperlink>
            <w:hyperlink w:anchor="avnt-20260331xnewsrelease.htm">
              <w:r>
                <w:rPr>
                  <w:rStyle w:val="InternetLink"/>
                  <w:rFonts w:ascii="Times New Roman;serif" w:hAnsi="Times New Roman;serif"/>
                  <w:b w:val="false"/>
                  <w:color w:val="000080"/>
                  <w:sz w:val="20"/>
                  <w:u w:val="single"/>
                </w:rPr>
                <w:t>.</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72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976" w:type="dxa"/>
        <w:jc w:val="center"/>
        <w:tblInd w:w="0" w:type="dxa"/>
        <w:tblLayout w:type="fixed"/>
        <w:tblCellMar>
          <w:top w:w="28" w:type="dxa"/>
          <w:left w:w="28" w:type="dxa"/>
          <w:bottom w:w="28" w:type="dxa"/>
          <w:right w:w="28" w:type="dxa"/>
        </w:tblCellMar>
      </w:tblPr>
      <w:tblGrid>
        <w:gridCol w:w="124"/>
        <w:gridCol w:w="109"/>
        <w:gridCol w:w="109"/>
        <w:gridCol w:w="1357"/>
        <w:gridCol w:w="1357"/>
        <w:gridCol w:w="1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AVIENT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Jamie A. Beggs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Jamie A. Beggs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and Chief Financial Officer</w:t>
            </w:r>
          </w:p>
        </w:tc>
      </w:tr>
    </w:tbl>
    <w:p>
      <w:pPr>
        <w:pStyle w:val="TextBody"/>
        <w:bidi w:val="0"/>
        <w:spacing w:lineRule="auto" w:line="576"/>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Dated: 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pPr>
      <w:r>
        <w:rPr/>
        <w:drawing>
          <wp:inline distT="0" distB="0" distL="0" distR="0">
            <wp:extent cx="1781175" cy="428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81175" cy="428625"/>
                    </a:xfrm>
                    <a:prstGeom prst="rect">
                      <a:avLst/>
                    </a:prstGeom>
                  </pic:spPr>
                </pic:pic>
              </a:graphicData>
            </a:graphic>
          </wp:inline>
        </w:drawing>
      </w:r>
      <w:r>
        <w:rPr>
          <w:color w:val="000000"/>
        </w:rPr>
        <w:t xml:space="preserve"> </w:t>
      </w:r>
    </w:p>
    <w:p>
      <w:pPr>
        <w:pStyle w:val="TextBody"/>
        <w:bidi w:val="0"/>
        <w:spacing w:lineRule="auto" w:line="288" w:before="0" w:after="0"/>
        <w:jc w:val="left"/>
        <w:rPr/>
      </w:pPr>
      <w:r>
        <w:rPr>
          <w:rFonts w:ascii="Arial;sans-serif" w:hAnsi="Arial;sans-serif"/>
          <w:b/>
          <w:color w:val="000000"/>
          <w:sz w:val="40"/>
        </w:rPr>
        <w:t>NEWS RELEASE</w:t>
      </w:r>
      <w:r>
        <w:rPr>
          <w:color w:val="000000"/>
        </w:rPr>
        <w:t xml:space="preserve"> </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FOR IMMEDIATE RELEASE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8"/>
          <w:u w:val="single"/>
        </w:rPr>
      </w:pPr>
      <w:r>
        <w:rPr>
          <w:rFonts w:ascii="Arial;sans-serif" w:hAnsi="Arial;sans-serif"/>
          <w:b/>
          <w:color w:val="000000"/>
          <w:sz w:val="28"/>
          <w:u w:val="single"/>
        </w:rPr>
        <w:t>Avient Announces First Quarter 2026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 xml:space="preserve">First quarter sales grew 3% to $847 million, which includes a 5% favorable foreign exchange impact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First quarter GAAP EPS of $0.61 compared to ($0.22) in the prior year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First quarter adjusted EPS of $0.83 exceeded guidance of $0.81; growth of 9% over the prior year quarter</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24"/>
        </w:rPr>
        <w:t>2026 full year adjusted EPS guidance range of $2.93 to $3.17, unchanged from prior guidance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CLEVELAND – May 7, 2026 – Avient Corporation (NYSE: AVNT), an innovator of materials solutions, today announced its first quarter results for 2026. First quarter GAAP earnings per share (EPS) were $0.61 compared to ($0.22) in the prior year quarter.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company noted that first quarter 2026 GAAP EPS includes special items of $0.06 and intangible amortization expense of $0.16 (see attachment 1).</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First quarter 2026 adjusted EPS was $0.83 compared to $0.76 in the prior year quarter, reflecting 9% growth in adjusted EPS.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"Once again our teams successfully navigated a complex and ever-changing environment with agility to deliver these results," said Dr. Ashish Khandpur, Chairman, President and Chief Executive Officer, Avient Corporation.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 xml:space="preserve">"Our first quarter results also reflect the team’s strong execution on driving productivity improvement and disciplined cost control, which enabled expansion of adjusted EBITDA margins by 20 basis points to 17.7%. Our teams remain focused on serving our customers, securing raw material supply, and have been proactively working to mitigate the costs of inflation from the ongoing situation in the Middle East and from macro-economic uncertainty,” added Dr. Khandpur. </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6080"/>
                <wp:effectExtent l="0" t="0" r="0" b="0"/>
                <wp:wrapNone/>
                <wp:docPr id="4" name="Frame3"/>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2026 Outlook</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4"/>
        </w:rPr>
        <w:t>We have a proven track record of successfully managing through volatile environments and supply chain constraints, as we demonstrated during the post-pandemic period in 2021 and 2022, as well as responding to the tariff policy changes in 2025. Accordingly, we expect second quarter adjusted EPS of $0.89, which represents 11% growth over the prior year quarter,” said Jamie Beggs, Senior Vice President and Chief Financial Officer.</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4"/>
        </w:rPr>
        <w:t>Our performance expectations for the first half of the year are slightly better-than-expected compared to the beginning of the year. With that said, the outlook for the second half of the year is less certain, so we are maintaining our full year guidance of adjusted EBITDA of $555 to $585 million and adjusted EPS of $2.93 to $3.17,” said Ms. Beggs.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Dr. Khandpur added, “Our strategy has enabled us to deliver consistent results and grow earnings in 2024 and 2025. We remain committed to growing full year earnings again in 2026, while continuing to also invest in our prioritized growth vectors to keep advancing our longer-term plans.”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6080"/>
                <wp:effectExtent l="0" t="0" r="0" b="0"/>
                <wp:wrapNone/>
                <wp:docPr id="5" name="Frame4"/>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Webcast Details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Avient will provide additional details on its 2026 first quarter and its 2026 full year outlook during its webcast scheduled for 8:00 a.m. Eastern Time on May 7, 2026.</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4"/>
        </w:rPr>
        <w:t xml:space="preserve">The webcast can be viewed live at </w:t>
      </w:r>
      <w:r>
        <w:rPr>
          <w:rFonts w:ascii="Arial;sans-serif" w:hAnsi="Arial;sans-serif"/>
          <w:b w:val="false"/>
          <w:color w:val="0000FF"/>
          <w:sz w:val="24"/>
        </w:rPr>
        <w:t>avient.com/investors</w:t>
      </w:r>
      <w:r>
        <w:rPr>
          <w:rFonts w:ascii="Arial;sans-serif" w:hAnsi="Arial;sans-serif"/>
          <w:b w:val="false"/>
          <w:color w:val="000000"/>
          <w:sz w:val="24"/>
        </w:rPr>
        <w:t xml:space="preserve">, or by clicking on the webcast link </w:t>
      </w:r>
      <w:r>
        <w:rPr>
          <w:rFonts w:ascii="Arial;sans-serif" w:hAnsi="Arial;sans-serif"/>
          <w:b w:val="false"/>
          <w:color w:val="0000FF"/>
          <w:sz w:val="24"/>
        </w:rPr>
        <w:t>here</w:t>
      </w:r>
      <w:r>
        <w:rPr>
          <w:rFonts w:ascii="Arial;sans-serif" w:hAnsi="Arial;sans-serif"/>
          <w:b w:val="false"/>
          <w:color w:val="000000"/>
          <w:sz w:val="24"/>
        </w:rPr>
        <w:t xml:space="preserve">. Conference call participants in the question and answer session should pre-register using the link at </w:t>
      </w:r>
      <w:r>
        <w:rPr>
          <w:rFonts w:ascii="Arial;sans-serif" w:hAnsi="Arial;sans-serif"/>
          <w:b w:val="false"/>
          <w:color w:val="0000FF"/>
          <w:sz w:val="24"/>
        </w:rPr>
        <w:t>avient.com/investors</w:t>
      </w:r>
      <w:r>
        <w:rPr>
          <w:rFonts w:ascii="Arial;sans-serif" w:hAnsi="Arial;sans-serif"/>
          <w:b w:val="false"/>
          <w:color w:val="000000"/>
          <w:sz w:val="24"/>
        </w:rPr>
        <w:t xml:space="preserve">, or </w:t>
      </w:r>
      <w:r>
        <w:rPr>
          <w:rFonts w:ascii="Arial;sans-serif" w:hAnsi="Arial;sans-serif"/>
          <w:b w:val="false"/>
          <w:color w:val="0000FF"/>
          <w:sz w:val="24"/>
        </w:rPr>
        <w:t>here</w:t>
      </w:r>
      <w:r>
        <w:rPr>
          <w:rFonts w:ascii="Arial;sans-serif" w:hAnsi="Arial;sans-serif"/>
          <w:b w:val="false"/>
          <w:color w:val="000000"/>
          <w:sz w:val="24"/>
        </w:rPr>
        <w:t>, to receive the dial-in number and personal PIN. This information is required to access the conference call. The question-and-answer session will follow the company’s presentation and prepared remarks.</w:t>
      </w:r>
    </w:p>
    <w:p>
      <w:pPr>
        <w:pStyle w:val="TextBody"/>
        <w:bidi w:val="0"/>
        <w:spacing w:before="0" w:after="0"/>
        <w:jc w:val="left"/>
        <w:rPr/>
      </w:pPr>
      <w:r>
        <w:rPr/>
      </w:r>
    </w:p>
    <w:p>
      <w:pPr>
        <w:pStyle w:val="TextBody"/>
        <w:bidi w:val="0"/>
        <w:spacing w:lineRule="auto" w:line="288"/>
        <w:jc w:val="both"/>
        <w:rPr/>
      </w:pPr>
      <w:r>
        <w:rPr>
          <w:rFonts w:ascii="Arial;sans-serif" w:hAnsi="Arial;sans-serif"/>
          <w:b w:val="false"/>
          <w:color w:val="000000"/>
          <w:sz w:val="24"/>
        </w:rPr>
        <w:t xml:space="preserve">A recording of the webcast and the slide presentation will be available at </w:t>
      </w:r>
      <w:r>
        <w:rPr>
          <w:rFonts w:ascii="Arial;sans-serif" w:hAnsi="Arial;sans-serif"/>
          <w:b w:val="false"/>
          <w:color w:val="0000FF"/>
          <w:sz w:val="24"/>
        </w:rPr>
        <w:t xml:space="preserve">avient.com/investors/events-presentations </w:t>
      </w:r>
      <w:r>
        <w:rPr>
          <w:rFonts w:ascii="Arial;sans-serif" w:hAnsi="Arial;sans-serif"/>
          <w:b w:val="false"/>
          <w:color w:val="000000"/>
          <w:sz w:val="24"/>
        </w:rPr>
        <w:t>immediately following the conference call and will be accessible for one year.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6080"/>
                <wp:effectExtent l="0" t="0" r="0" b="0"/>
                <wp:wrapNone/>
                <wp:docPr id="6" name="Frame5"/>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Company uses both GAAP (generally accepted accounting principles) and non-GAAP financial measures. The non-GAAP financial measures include organic performance (which excludes the impact of foreign exchange), adjusted EPS, adjusted operating income, adjusted EBITDA, adjusted EBITDA margins, free cash flow and adjusted free cash flow. Avient's chief operating decision maker uses these financial measures to monitor and evaluate the ongoing performance of the Company and each business segment and to allocate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The Company does not provide reconciliations of forward-looking non-GAAP financial measures, such as adjusted EPS, adjusted EBITDA and free cash flow, to the most comparable GAAP financial measures on a forward-looking basis because the Company is unable to provide a meaningful or accurate calculation or estimation of reconciling items, and the information is not available without unreasonable effort. This is due to the inherent difficulty of forecasting the timing and amount of certain items, such as, but not limited to, environmental remediation costs and associated recoveries, mark-to-market adjustments on pension and other post-retirement obligations, acquisition-related charges, and other non-routine costs. Each of such adjustments has not yet occurred, are out of the Company's control and/or cannot be reasonably predicted. For the same reasons, the Company is unable to address the probable significance of the unavailable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4"/>
        </w:rPr>
        <w:t xml:space="preserve">To access Avient’s news library online, please visit </w:t>
      </w:r>
      <w:r>
        <w:rPr>
          <w:rFonts w:ascii="Arial;sans-serif" w:hAnsi="Arial;sans-serif"/>
          <w:b w:val="false"/>
          <w:color w:val="0000FF"/>
          <w:sz w:val="24"/>
        </w:rPr>
        <w:t>www.avient.com/news</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About Avient</w:t>
      </w:r>
    </w:p>
    <w:p>
      <w:pPr>
        <w:pStyle w:val="TextBody"/>
        <w:bidi w:val="0"/>
        <w:spacing w:before="0" w:after="0"/>
        <w:jc w:val="left"/>
        <w:rPr/>
      </w:pPr>
      <w:r>
        <w:rPr/>
      </w:r>
    </w:p>
    <w:p>
      <w:pPr>
        <w:pStyle w:val="TextBody"/>
        <w:bidi w:val="0"/>
        <w:spacing w:lineRule="auto" w:line="288"/>
        <w:jc w:val="both"/>
        <w:rPr/>
      </w:pPr>
      <w:r>
        <w:rPr>
          <w:rFonts w:ascii="Arial;sans-serif" w:hAnsi="Arial;sans-serif"/>
          <w:b w:val="false"/>
          <w:color w:val="000000"/>
          <w:sz w:val="24"/>
        </w:rPr>
        <w:t xml:space="preserve">Our purpose at Avient Corporation (NYSE: AVNT) is to be an innovator of materials solutions that help our customers succeed, while enabling a sustainable world. Our local touch and customer engagement, combined with our global presence, allows us to serve customers with agility. We harness the collective strength of more than 9,000 employees worldwide to collaborate and build on each other's ideas. In doing so, we innovate solutions that help our customers overcome their challenges or capitalize on opportunities provided by the fast-changing world and secular trends. Our expanding portfolio of offerings includes colorants, advanced composites, functional additives, engineered materials, and Dyneema®, the world’s strongest fiber™. By intersecting our broad portfolio of technologies with the product roadmaps of our customers, we help create differentiated and high-performance products that make the world better and more sustainable. Visit </w:t>
      </w:r>
      <w:r>
        <w:rPr>
          <w:rFonts w:ascii="Arial;sans-serif" w:hAnsi="Arial;sans-serif"/>
          <w:b w:val="false"/>
          <w:color w:val="0000FF"/>
          <w:sz w:val="24"/>
        </w:rPr>
        <w:t>www.avient.com</w:t>
      </w:r>
      <w:r>
        <w:rPr>
          <w:color w:val="000000"/>
        </w:rPr>
        <w:t xml:space="preserve"> </w:t>
      </w:r>
      <w:r>
        <w:rPr>
          <w:rFonts w:ascii="Arial;sans-serif" w:hAnsi="Arial;sans-serif"/>
          <w:b w:val="false"/>
          <w:color w:val="000000"/>
          <w:sz w:val="24"/>
        </w:rPr>
        <w:t>to learn more.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6080"/>
                <wp:effectExtent l="0" t="0" r="0" b="0"/>
                <wp:wrapNone/>
                <wp:docPr id="7" name="Frame6"/>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 xml:space="preserve">Forward-looking Statements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In this press release, statements that are not reported financial results or other historical information are "forward-looking statements" within the meaning of the Private Securities Litigation Reform Act of 1995. Forward-looking statements give current expectations or forecasts of future events and are not guarantees of future performance. They are based on management's expectations that involve a number of business risks and uncertainties, any of which could cause actual results to differ materially from those expressed in or implied by the forward-looking statements. They use words such as "will," "anticipate," "estimate," "expect," "project," "intend," "plan," "believe," and other words and terms of similar meaning in connection with any discussion of future operating or financial condition, performance and/or sales. Factors that could cause actual results to differ materially from those implied by these forward-looking statements include, but are not limited to: disruptions, uncertainty or volatility in the global credit markets that could adversely impact the availability of credit already arranged and the availability and cost of credit in the future; the effect on foreign operations of currency fluctuations, tariffs and other political, economic and regulatory risks; disruptions or inefficiencies in our supply chain, logistics, or operations; changes in laws and regulations in jurisdictions where we conduct business, including with respect to plastics and climate change; changes to foreign trade policy, including new or increased tariffs and changing import/export regulation; fluctuations in raw material prices, quality and supply, and in energy prices and supply; demand for our products and services; production outages or material costs associated with scheduled or unscheduled maintenance programs; unanticipated developments that could occur with respect to contingencies such as litigation and environmental matters; our ability to pay regular quarterly cash dividends and the amounts and timing of any future dividends; information systems failures, cybersecurity breaches and cyberattacks; our ability to service our indebtedness and restrictions on our current and future operations due to our indebtedness; amounts for cash and non-cash charges related to restructuring plans that may differ from original estimates, including because of timing changes associated with the underlying actions; and other factors affecting our business beyond our control, including without limitation, changes in the general economy, changes in interest rates, changes in the rate of inflation, geopolitical conflicts and any recessionary conditions. The above list of factors is not exhaustive.</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4"/>
        </w:rPr>
      </w:pPr>
      <w:r>
        <w:rPr>
          <w:rFonts w:ascii="Arial;sans-serif" w:hAnsi="Arial;sans-serif"/>
          <w:b w:val="false"/>
          <w:color w:val="000000"/>
          <w:sz w:val="24"/>
        </w:rPr>
        <w:t>Any forward-looking statement speaks only as of the date on which such statement is made, and we undertake no obligation to publicly update forward-looking statements, whether as a result of new information, future events or otherwise. You are advised to consult any further disclosures we make on related subjects in our reports on Form 10-Q, 8-K and 10-K that we provide to the Securities and Exchange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6080"/>
                <wp:effectExtent l="0" t="0" r="0" b="0"/>
                <wp:wrapNone/>
                <wp:docPr id="8" name="Frame7"/>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Investor Relations Contact:</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Giuseppe (Joe) Di Salvo</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Vice President, Treasurer and Investor Relations</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Avient Corporation</w:t>
      </w:r>
    </w:p>
    <w:p>
      <w:pPr>
        <w:pStyle w:val="TextBody"/>
        <w:bidi w:val="0"/>
        <w:spacing w:lineRule="auto" w:line="288" w:before="0" w:after="0"/>
        <w:jc w:val="both"/>
        <w:rPr>
          <w:rFonts w:ascii="Arial;sans-serif" w:hAnsi="Arial;sans-serif"/>
          <w:b w:val="false"/>
          <w:color w:val="000000"/>
          <w:sz w:val="24"/>
        </w:rPr>
      </w:pPr>
      <w:r>
        <w:rPr>
          <w:rFonts w:ascii="Arial;sans-serif" w:hAnsi="Arial;sans-serif"/>
          <w:b w:val="false"/>
          <w:color w:val="000000"/>
          <w:sz w:val="24"/>
        </w:rPr>
        <w:t>+1 440-930-1921</w:t>
      </w:r>
    </w:p>
    <w:p>
      <w:pPr>
        <w:pStyle w:val="TextBody"/>
        <w:bidi w:val="0"/>
        <w:spacing w:lineRule="auto" w:line="288" w:before="0" w:after="0"/>
        <w:jc w:val="both"/>
        <w:rPr>
          <w:rFonts w:ascii="Arial;sans-serif" w:hAnsi="Arial;sans-serif"/>
          <w:b w:val="false"/>
          <w:color w:val="0000FF"/>
          <w:sz w:val="24"/>
        </w:rPr>
      </w:pPr>
      <w:r>
        <w:rPr>
          <w:rFonts w:ascii="Arial;sans-serif" w:hAnsi="Arial;sans-serif"/>
          <w:b w:val="false"/>
          <w:color w:val="0000FF"/>
          <w:sz w:val="24"/>
        </w:rPr>
        <w:t>giuseppe.disalvo@avient.com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6080"/>
                <wp:effectExtent l="0" t="0" r="0" b="0"/>
                <wp:wrapNone/>
                <wp:docPr id="9" name="Frame8"/>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Adjusted Net Income and Earnings Per Share (Unaudited)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18"/>
        </w:rPr>
        <w:t xml:space="preserve">Senior management uses comparisons of adjusted net income attributable to Avient common shareholders and diluted adjusted earnings per share (EPS) attributable to Avient common shareholders, excluding special items, to assess performance and facilitate comparability of results. Further, as a result of Avient's strategic shift towards an innovator of materials solutions, it has completed several acquisitions and divestitures which have resulted in a significant amount of intangible asset amortization. Management excludes intangible asset amortization from adjusted EPS as it believes excluding acquired intangible asset amortization is a useful measure of current period earnings per share. Senior management believes these measures are useful to investors because they allow for comparison to Avient's performance in prior periods without the effect of items that, by their nature, tend to obscure Avient's operating results due to the potential variability across periods based on timing, frequency and magnitude. Non-GAAP financial measures have limitations as analytical tools and should not be considered in isolation from, or solely as alternatives to, financial measures prepared in accordance with GAAP. Below is a reconciliation of these non-GAAP financial measures to their most directly comparable financial measures calculated and presented in accordance with GAAP. See </w:t>
      </w:r>
      <w:r>
        <w:rPr>
          <w:rFonts w:ascii="Arial;sans-serif" w:hAnsi="Arial;sans-serif"/>
          <w:b w:val="false"/>
          <w:i/>
          <w:color w:val="000000"/>
          <w:sz w:val="18"/>
        </w:rPr>
        <w:t>Attachment 3</w:t>
      </w:r>
      <w:r>
        <w:rPr>
          <w:color w:val="000000"/>
        </w:rPr>
        <w:t xml:space="preserve"> </w:t>
      </w:r>
      <w:r>
        <w:rPr>
          <w:rFonts w:ascii="Arial;sans-serif" w:hAnsi="Arial;sans-serif"/>
          <w:b w:val="false"/>
          <w:color w:val="000000"/>
          <w:sz w:val="18"/>
        </w:rPr>
        <w:t>for a definition and summary of special items.</w:t>
      </w:r>
    </w:p>
    <w:p>
      <w:pPr>
        <w:pStyle w:val="TextBody"/>
        <w:bidi w:val="0"/>
        <w:spacing w:before="0" w:after="0"/>
        <w:jc w:val="both"/>
        <w:rPr/>
      </w:pPr>
      <w:r>
        <w:rPr/>
      </w:r>
    </w:p>
    <w:tbl>
      <w:tblPr>
        <w:tblW w:w="10155" w:type="dxa"/>
        <w:jc w:val="center"/>
        <w:tblInd w:w="0" w:type="dxa"/>
        <w:tblLayout w:type="fixed"/>
        <w:tblCellMar>
          <w:top w:w="28" w:type="dxa"/>
          <w:left w:w="28" w:type="dxa"/>
          <w:bottom w:w="28" w:type="dxa"/>
          <w:right w:w="28" w:type="dxa"/>
        </w:tblCellMar>
      </w:tblPr>
      <w:tblGrid>
        <w:gridCol w:w="2049"/>
        <w:gridCol w:w="1799"/>
        <w:gridCol w:w="1807"/>
        <w:gridCol w:w="211"/>
        <w:gridCol w:w="511"/>
        <w:gridCol w:w="109"/>
        <w:gridCol w:w="109"/>
        <w:gridCol w:w="109"/>
        <w:gridCol w:w="109"/>
        <w:gridCol w:w="211"/>
        <w:gridCol w:w="511"/>
        <w:gridCol w:w="109"/>
        <w:gridCol w:w="109"/>
        <w:gridCol w:w="109"/>
        <w:gridCol w:w="109"/>
        <w:gridCol w:w="211"/>
        <w:gridCol w:w="586"/>
        <w:gridCol w:w="109"/>
        <w:gridCol w:w="109"/>
        <w:gridCol w:w="109"/>
        <w:gridCol w:w="109"/>
        <w:gridCol w:w="211"/>
        <w:gridCol w:w="586"/>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Condensed Consolidated Statements of Income</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EPS</w:t>
            </w:r>
            <w:r>
              <w:rPr>
                <w:rFonts w:ascii="Arial;sans-serif" w:hAnsi="Arial;sans-serif"/>
                <w:b/>
                <w:color w:val="000000"/>
                <w:sz w:val="12"/>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EPS</w:t>
            </w:r>
            <w:r>
              <w:rPr>
                <w:rFonts w:ascii="Arial;sans-serif" w:hAnsi="Arial;sans-serif"/>
                <w:b/>
                <w:color w:val="000000"/>
                <w:sz w:val="12"/>
              </w:rPr>
              <w:t>(1)</w:t>
            </w:r>
            <w:r>
              <w:rPr>
                <w:color w:val="000000"/>
              </w:rPr>
              <w:t xml:space="preserve"> </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Avient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after-tax (Attachment 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after-tax</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 EPS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283"/>
        <w:jc w:val="left"/>
        <w:rPr/>
      </w:pPr>
      <w:r>
        <w:rPr>
          <w:rFonts w:ascii="Times New Roman;serif" w:hAnsi="Times New Roman;serif"/>
          <w:b w:val="false"/>
          <w:color w:val="000000"/>
          <w:sz w:val="12"/>
        </w:rPr>
        <w:t>(1)</w:t>
      </w:r>
      <w:r>
        <w:rPr>
          <w:color w:val="000000"/>
        </w:rPr>
        <w:t xml:space="preserve"> </w:t>
      </w:r>
      <w:r>
        <w:rPr>
          <w:rFonts w:ascii="Arial;sans-serif" w:hAnsi="Arial;sans-serif"/>
          <w:b w:val="false"/>
          <w:i/>
          <w:color w:val="000000"/>
          <w:sz w:val="16"/>
        </w:rPr>
        <w:t>Per share amounts may not recalculate from figures presented herein due to rounding</w:t>
      </w:r>
    </w:p>
    <w:p>
      <w:pPr>
        <w:pStyle w:val="TextBody"/>
        <w:bidi w:val="0"/>
        <w:spacing w:before="180" w:after="283"/>
        <w:jc w:val="left"/>
        <w:rPr/>
      </w:pPr>
      <w:r>
        <w:rPr/>
      </w:r>
    </w:p>
    <w:p>
      <w:pPr>
        <w:pStyle w:val="TextBody"/>
        <w:bidi w:val="0"/>
        <w:spacing w:before="18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6080"/>
                <wp:effectExtent l="0" t="0" r="0" b="0"/>
                <wp:wrapNone/>
                <wp:docPr id="10" name="Frame9"/>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Income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tbl>
      <w:tblPr>
        <w:tblW w:w="8994" w:type="dxa"/>
        <w:jc w:val="center"/>
        <w:tblInd w:w="0" w:type="dxa"/>
        <w:tblLayout w:type="fixed"/>
        <w:tblCellMar>
          <w:top w:w="28" w:type="dxa"/>
          <w:left w:w="28" w:type="dxa"/>
          <w:bottom w:w="28" w:type="dxa"/>
          <w:right w:w="28" w:type="dxa"/>
        </w:tblCellMar>
      </w:tblPr>
      <w:tblGrid>
        <w:gridCol w:w="2795"/>
        <w:gridCol w:w="1861"/>
        <w:gridCol w:w="1884"/>
        <w:gridCol w:w="211"/>
        <w:gridCol w:w="721"/>
        <w:gridCol w:w="109"/>
        <w:gridCol w:w="109"/>
        <w:gridCol w:w="109"/>
        <w:gridCol w:w="109"/>
        <w:gridCol w:w="211"/>
        <w:gridCol w:w="721"/>
        <w:gridCol w:w="154"/>
      </w:tblGrid>
      <w:tr>
        <w:trPr/>
        <w:tc>
          <w:tcPr>
            <w:tcW w:w="2795"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Avient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per share attributable to Avient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per share attributable to Avient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declared per share of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earnings per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6080"/>
                <wp:effectExtent l="0" t="0" r="0" b="0"/>
                <wp:wrapNone/>
                <wp:docPr id="11" name="Frame10"/>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3</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Summary of Special Items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tbl>
      <w:tblPr>
        <w:tblW w:w="7946" w:type="dxa"/>
        <w:jc w:val="left"/>
        <w:tblInd w:w="0" w:type="dxa"/>
        <w:tblLayout w:type="fixed"/>
        <w:tblCellMar>
          <w:top w:w="28" w:type="dxa"/>
          <w:left w:w="28" w:type="dxa"/>
          <w:bottom w:w="28" w:type="dxa"/>
          <w:right w:w="28" w:type="dxa"/>
        </w:tblCellMar>
      </w:tblPr>
      <w:tblGrid>
        <w:gridCol w:w="1868"/>
        <w:gridCol w:w="1642"/>
        <w:gridCol w:w="1650"/>
        <w:gridCol w:w="269"/>
        <w:gridCol w:w="748"/>
        <w:gridCol w:w="139"/>
        <w:gridCol w:w="139"/>
        <w:gridCol w:w="139"/>
        <w:gridCol w:w="139"/>
        <w:gridCol w:w="269"/>
        <w:gridCol w:w="748"/>
        <w:gridCol w:w="196"/>
      </w:tblGrid>
      <w:tr>
        <w:trPr/>
        <w:tc>
          <w:tcPr>
            <w:tcW w:w="1868"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71" w:before="0" w:after="0"/>
              <w:jc w:val="left"/>
              <w:rPr/>
            </w:pPr>
            <w:r>
              <w:rPr>
                <w:rFonts w:ascii="Arial;sans-serif" w:hAnsi="Arial;sans-serif"/>
                <w:b/>
                <w:color w:val="000000"/>
                <w:sz w:val="18"/>
              </w:rPr>
              <w:t xml:space="preserve">Special items </w:t>
            </w:r>
            <w:r>
              <w:rPr>
                <w:rFonts w:ascii="Arial;sans-serif" w:hAnsi="Arial;sans-serif"/>
                <w:b/>
                <w:color w:val="000000"/>
                <w:sz w:val="12"/>
              </w:rPr>
              <w:t>(1)</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 xml:space="preserve">Restructuring costs, including accelerated depreciation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Environmental remediation costs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Reimbursement of previously incurred environmental costs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Impact on cost of sales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administrative expense:</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Restructuring and employee separation costs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Legal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Cloud-based enterprise resource planning system impairment</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Impact on selling and administrative expense</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Impact on operating income</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Interest expense, net - financing costs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rFonts w:ascii="Arial;sans-serif" w:hAnsi="Arial;sans-serif"/>
                <w:b w:val="false"/>
                <w:color w:val="000000"/>
                <w:sz w:val="18"/>
              </w:rPr>
            </w:pPr>
            <w:r>
              <w:rPr>
                <w:rFonts w:ascii="Arial;sans-serif" w:hAnsi="Arial;sans-serif"/>
                <w:b w:val="false"/>
                <w:color w:val="000000"/>
                <w:sz w:val="18"/>
              </w:rPr>
              <w:t>Impact on income (loss) before income taxes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Arial;sans-serif" w:hAnsi="Arial;sans-serif"/>
                <w:b w:val="false"/>
                <w:color w:val="000000"/>
                <w:sz w:val="18"/>
              </w:rPr>
            </w:pPr>
            <w:r>
              <w:rPr>
                <w:rFonts w:ascii="Arial;sans-serif" w:hAnsi="Arial;sans-serif"/>
                <w:b w:val="false"/>
                <w:color w:val="000000"/>
                <w:sz w:val="18"/>
              </w:rPr>
              <w:t>Income tax benefit on special items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pPr>
            <w:r>
              <w:rPr>
                <w:rFonts w:ascii="Arial;sans-serif" w:hAnsi="Arial;sans-serif"/>
                <w:b w:val="false"/>
                <w:color w:val="000000"/>
                <w:sz w:val="18"/>
              </w:rPr>
              <w:t>Tax adjustments</w:t>
            </w:r>
            <w:r>
              <w:rPr>
                <w:rFonts w:ascii="Arial;sans-serif" w:hAnsi="Arial;sans-serif"/>
                <w:b w:val="false"/>
                <w:color w:val="000000"/>
                <w:sz w:val="12"/>
              </w:rPr>
              <w:t>(2)</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Arial;sans-serif" w:hAnsi="Arial;sans-serif"/>
                <w:b w:val="false"/>
                <w:color w:val="000000"/>
                <w:sz w:val="18"/>
              </w:rPr>
            </w:pPr>
            <w:r>
              <w:rPr>
                <w:rFonts w:ascii="Arial;sans-serif" w:hAnsi="Arial;sans-serif"/>
                <w:b w:val="false"/>
                <w:color w:val="000000"/>
                <w:sz w:val="18"/>
              </w:rPr>
              <w:t>Impact of special items on net income (loss)</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(loss) per common share impact</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6"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 average shares used to compute adjusted earnings per share:</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1"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w:t>
            </w:r>
          </w:p>
        </w:tc>
      </w:tr>
    </w:tbl>
    <w:p>
      <w:pPr>
        <w:pStyle w:val="TextBody"/>
        <w:bidi w:val="0"/>
        <w:spacing w:before="0" w:after="0"/>
        <w:ind w:left="0" w:right="0" w:hanging="225"/>
        <w:jc w:val="left"/>
        <w:rPr/>
      </w:pPr>
      <w:r>
        <w:rPr/>
      </w:r>
    </w:p>
    <w:p>
      <w:pPr>
        <w:pStyle w:val="TextBody"/>
        <w:bidi w:val="0"/>
        <w:spacing w:lineRule="auto" w:line="288" w:before="0" w:after="0"/>
        <w:ind w:left="0" w:right="0" w:hanging="225"/>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Special items include charges related to specific strategic initiatives or financial restructuring such as: consolidation of operations; debt extinguishment costs; costs incurred directly in relation to acquisitions or divestitures; employee separation costs resulting from personnel reduction programs, plant realignment costs, executive separation agreements; asset impairments; settlement gains or losses and mark-to-market adjustments associated with gains and losses on pension and other post-retirement benefit plans; environmental remediation costs, fines, penalties and related insurance recoveries related to facilities no longer owned or closed in prior years; gains and losses on facility or property sales or disposals; results of litigation, fines or penalties, where such litigation (or action relating to the fines or penalties) arose prior to the commencement of the performance period; one-time, non-recurring items; and the effect of changes in accounting principles or other such laws or provisions affecting reported results.</w:t>
      </w:r>
    </w:p>
    <w:p>
      <w:pPr>
        <w:pStyle w:val="TextBody"/>
        <w:bidi w:val="0"/>
        <w:spacing w:before="0" w:after="0"/>
        <w:ind w:left="0" w:right="0" w:hanging="225"/>
        <w:jc w:val="left"/>
        <w:rPr/>
      </w:pPr>
      <w:r>
        <w:rPr/>
      </w:r>
    </w:p>
    <w:p>
      <w:pPr>
        <w:pStyle w:val="TextBody"/>
        <w:bidi w:val="0"/>
        <w:spacing w:lineRule="auto" w:line="288" w:before="0" w:after="0"/>
        <w:ind w:left="0" w:right="0" w:hanging="225"/>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Tax adjustments include the net tax impact from non-recurring income tax items and certain adjustments to uncertain tax position reserves and valuation allowances.</w:t>
      </w:r>
    </w:p>
    <w:p>
      <w:pPr>
        <w:pStyle w:val="TextBody"/>
        <w:bidi w:val="0"/>
        <w:ind w:left="0" w:right="0" w:hanging="225"/>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6080"/>
                <wp:effectExtent l="0" t="0" r="0" b="0"/>
                <wp:wrapNone/>
                <wp:docPr id="12" name="Frame11"/>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right"/>
        <w:rPr>
          <w:rFonts w:ascii="Arial;sans-serif" w:hAnsi="Arial;sans-serif"/>
          <w:b/>
          <w:color w:val="000000"/>
          <w:sz w:val="20"/>
        </w:rPr>
      </w:pPr>
      <w:r>
        <w:rPr>
          <w:rFonts w:ascii="Arial;sans-serif" w:hAnsi="Arial;sans-serif"/>
          <w:b/>
          <w:color w:val="000000"/>
          <w:sz w:val="20"/>
        </w:rPr>
        <w:t>Attachment 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tbl>
      <w:tblPr>
        <w:tblW w:w="7541" w:type="dxa"/>
        <w:jc w:val="center"/>
        <w:tblInd w:w="0" w:type="dxa"/>
        <w:tblLayout w:type="fixed"/>
        <w:tblCellMar>
          <w:top w:w="28" w:type="dxa"/>
          <w:left w:w="28" w:type="dxa"/>
          <w:bottom w:w="28" w:type="dxa"/>
          <w:right w:w="28" w:type="dxa"/>
        </w:tblCellMar>
      </w:tblPr>
      <w:tblGrid>
        <w:gridCol w:w="1443"/>
        <w:gridCol w:w="1270"/>
        <w:gridCol w:w="1277"/>
        <w:gridCol w:w="274"/>
        <w:gridCol w:w="995"/>
        <w:gridCol w:w="141"/>
        <w:gridCol w:w="109"/>
        <w:gridCol w:w="109"/>
        <w:gridCol w:w="109"/>
        <w:gridCol w:w="338"/>
        <w:gridCol w:w="1229"/>
        <w:gridCol w:w="247"/>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(Unaudited)</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net</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5,944.8 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SHAREHOLDERS' EQUITY</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and current portion of long-term debt</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non-current liabilities</w:t>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2,723.7 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2,793.0 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SHAREHOLDERS' EQUITY</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Avient shareholders’ equity</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equity</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2,418.0 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5,944.8 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6,025.6 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6080"/>
                <wp:effectExtent l="0" t="0" r="0" b="0"/>
                <wp:wrapNone/>
                <wp:docPr id="13" name="Frame12"/>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5</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tbl>
      <w:tblPr>
        <w:tblW w:w="8993" w:type="dxa"/>
        <w:jc w:val="center"/>
        <w:tblInd w:w="0" w:type="dxa"/>
        <w:tblLayout w:type="fixed"/>
        <w:tblCellMar>
          <w:top w:w="28" w:type="dxa"/>
          <w:left w:w="28" w:type="dxa"/>
          <w:bottom w:w="28" w:type="dxa"/>
          <w:right w:w="28" w:type="dxa"/>
        </w:tblCellMar>
      </w:tblPr>
      <w:tblGrid>
        <w:gridCol w:w="2444"/>
        <w:gridCol w:w="2149"/>
        <w:gridCol w:w="2156"/>
        <w:gridCol w:w="211"/>
        <w:gridCol w:w="616"/>
        <w:gridCol w:w="109"/>
        <w:gridCol w:w="109"/>
        <w:gridCol w:w="109"/>
        <w:gridCol w:w="109"/>
        <w:gridCol w:w="211"/>
        <w:gridCol w:w="616"/>
        <w:gridCol w:w="154"/>
      </w:tblGrid>
      <w:tr>
        <w:trPr/>
        <w:tc>
          <w:tcPr>
            <w:tcW w:w="24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6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used in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Cloud-based enterprise resource planning system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restructuring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incentive accruals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insurance recovery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assets and liabilities,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 paid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6080"/>
                <wp:effectExtent l="0" t="0" r="0" b="0"/>
                <wp:wrapNone/>
                <wp:docPr id="14" name="Frame13"/>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Business Segment Operations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Operating income and earnings before interest, taxes, depreciation and amortization (EBITDA) at the segment level does not include: special items as defined in </w:t>
      </w:r>
      <w:r>
        <w:rPr>
          <w:rFonts w:ascii="Arial;sans-serif" w:hAnsi="Arial;sans-serif"/>
          <w:b w:val="false"/>
          <w:i/>
          <w:color w:val="000000"/>
          <w:sz w:val="18"/>
        </w:rPr>
        <w:t>Attachment 3</w:t>
      </w:r>
      <w:r>
        <w:rPr>
          <w:rFonts w:ascii="Arial;sans-serif" w:hAnsi="Arial;sans-serif"/>
          <w:b w:val="false"/>
          <w:color w:val="000000"/>
          <w:sz w:val="18"/>
        </w:rPr>
        <w:t xml:space="preserve">; corporate general and administration costs that are not allocated to segments; intersegment sales and profit eliminations; share-based compensation costs; and certain other items that are not included in the measure of segment profit and loss that is reported to and reviewed by the chief operating decision maker. These costs are included in </w:t>
      </w:r>
      <w:r>
        <w:rPr>
          <w:rFonts w:ascii="Arial;sans-serif" w:hAnsi="Arial;sans-serif"/>
          <w:b w:val="false"/>
          <w:i/>
          <w:color w:val="000000"/>
          <w:sz w:val="18"/>
        </w:rPr>
        <w:t>Corporate</w:t>
      </w:r>
      <w:r>
        <w:rPr>
          <w:rFonts w:ascii="Arial;sans-serif" w:hAnsi="Arial;sans-serif"/>
          <w:b w:val="false"/>
          <w:color w:val="000000"/>
          <w:sz w:val="18"/>
        </w:rPr>
        <w:t>.</w:t>
      </w:r>
    </w:p>
    <w:tbl>
      <w:tblPr>
        <w:tblW w:w="8529" w:type="dxa"/>
        <w:jc w:val="left"/>
        <w:tblInd w:w="0" w:type="dxa"/>
        <w:tblLayout w:type="fixed"/>
        <w:tblCellMar>
          <w:top w:w="28" w:type="dxa"/>
          <w:left w:w="28" w:type="dxa"/>
          <w:bottom w:w="28" w:type="dxa"/>
          <w:right w:w="28" w:type="dxa"/>
        </w:tblCellMar>
      </w:tblPr>
      <w:tblGrid>
        <w:gridCol w:w="2266"/>
        <w:gridCol w:w="1990"/>
        <w:gridCol w:w="2029"/>
        <w:gridCol w:w="211"/>
        <w:gridCol w:w="616"/>
        <w:gridCol w:w="109"/>
        <w:gridCol w:w="109"/>
        <w:gridCol w:w="109"/>
        <w:gridCol w:w="109"/>
        <w:gridCol w:w="211"/>
        <w:gridCol w:w="616"/>
        <w:gridCol w:w="154"/>
      </w:tblGrid>
      <w:tr>
        <w:trPr/>
        <w:tc>
          <w:tcPr>
            <w:tcW w:w="2266"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Sales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margin: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Gross margin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Selling and administrative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and administrative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Depreciation &amp;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Earnings before interest, taxes, depreciation and amortization (EBITDA):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Color, Additives and Inks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Specialty Engineered Materials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before tax</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included in special items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 included in special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6080"/>
                <wp:effectExtent l="0" t="0" r="0" b="0"/>
                <wp:wrapNone/>
                <wp:docPr id="15" name="Frame14"/>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Attachment 7</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Avient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Non-GAAP Financial Measures (Unaudited)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data)</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Senior management uses operating income before special items to assess performance and allocate resources because senior management believes that this measure is most useful in understanding current profitability levels and how it may serve as a basis for future performance. In addition, operating income before the effect of special items is a component of Avient's annual incentive plans and is used in debt covenant computations. Senior management believes this measure is useful to investors because it allows for comparison to Avient's performance in prior periods without the effect of items that, by their nature, tend to obscure Avient's operating results due to the potential variability across periods based on timing, frequency and magnitude. Non-GAAP financial measures have limitations as analytical tools and should not be considered in isolation from, or solely as alternatives to, financial measures prepared in accordance with GAAP. Below is a reconciliation of these non-GAAP financial measures to their most directly comparable financial measures calculated and presented in accordance with GAAP. See </w:t>
      </w:r>
      <w:r>
        <w:rPr>
          <w:rFonts w:ascii="Arial;sans-serif" w:hAnsi="Arial;sans-serif"/>
          <w:b w:val="false"/>
          <w:i/>
          <w:color w:val="000000"/>
          <w:sz w:val="18"/>
        </w:rPr>
        <w:t>Attachment 3</w:t>
      </w:r>
      <w:r>
        <w:rPr>
          <w:color w:val="000000"/>
        </w:rPr>
        <w:t xml:space="preserve"> </w:t>
      </w:r>
      <w:r>
        <w:rPr>
          <w:rFonts w:ascii="Arial;sans-serif" w:hAnsi="Arial;sans-serif"/>
          <w:b w:val="false"/>
          <w:color w:val="000000"/>
          <w:sz w:val="18"/>
        </w:rPr>
        <w:t>for a definition and summary of special items.</w:t>
      </w:r>
    </w:p>
    <w:p>
      <w:pPr>
        <w:pStyle w:val="TextBody"/>
        <w:bidi w:val="0"/>
        <w:spacing w:before="0" w:after="0"/>
        <w:jc w:val="both"/>
        <w:rPr/>
      </w:pPr>
      <w:r>
        <w:rPr/>
      </w:r>
    </w:p>
    <w:tbl>
      <w:tblPr>
        <w:tblW w:w="8223" w:type="dxa"/>
        <w:jc w:val="left"/>
        <w:tblInd w:w="0" w:type="dxa"/>
        <w:tblLayout w:type="fixed"/>
        <w:tblCellMar>
          <w:top w:w="28" w:type="dxa"/>
          <w:left w:w="28" w:type="dxa"/>
          <w:bottom w:w="28" w:type="dxa"/>
          <w:right w:w="28" w:type="dxa"/>
        </w:tblCellMar>
      </w:tblPr>
      <w:tblGrid>
        <w:gridCol w:w="2049"/>
        <w:gridCol w:w="1799"/>
        <w:gridCol w:w="1807"/>
        <w:gridCol w:w="211"/>
        <w:gridCol w:w="616"/>
        <w:gridCol w:w="271"/>
        <w:gridCol w:w="109"/>
        <w:gridCol w:w="109"/>
        <w:gridCol w:w="109"/>
        <w:gridCol w:w="211"/>
        <w:gridCol w:w="616"/>
        <w:gridCol w:w="316"/>
      </w:tblGrid>
      <w:tr>
        <w:trPr/>
        <w:tc>
          <w:tcPr>
            <w:tcW w:w="204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Condensed Consolidated Statements of Income</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Sales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margin - GAAP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in gross margin (Attachment 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margin as a percent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 GAAP</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in operating income (Attachment 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 as a percent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7053" w:type="dxa"/>
        <w:jc w:val="left"/>
        <w:tblInd w:w="0" w:type="dxa"/>
        <w:tblLayout w:type="fixed"/>
        <w:tblCellMar>
          <w:top w:w="28" w:type="dxa"/>
          <w:left w:w="28" w:type="dxa"/>
          <w:bottom w:w="28" w:type="dxa"/>
          <w:right w:w="28" w:type="dxa"/>
        </w:tblCellMar>
      </w:tblPr>
      <w:tblGrid>
        <w:gridCol w:w="1625"/>
        <w:gridCol w:w="1427"/>
        <w:gridCol w:w="1433"/>
        <w:gridCol w:w="211"/>
        <w:gridCol w:w="616"/>
        <w:gridCol w:w="271"/>
        <w:gridCol w:w="109"/>
        <w:gridCol w:w="109"/>
        <w:gridCol w:w="109"/>
        <w:gridCol w:w="211"/>
        <w:gridCol w:w="616"/>
        <w:gridCol w:w="316"/>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EBITDA and Adjusted EBITDA:</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&amp;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before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expense included in special items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&amp; amortization included in special items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Adjusted EBITDA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as a percent of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7689" w:type="dxa"/>
        <w:jc w:val="left"/>
        <w:tblInd w:w="0" w:type="dxa"/>
        <w:tblLayout w:type="fixed"/>
        <w:tblCellMar>
          <w:top w:w="28" w:type="dxa"/>
          <w:left w:w="28" w:type="dxa"/>
          <w:bottom w:w="28" w:type="dxa"/>
          <w:right w:w="28" w:type="dxa"/>
        </w:tblCellMar>
      </w:tblPr>
      <w:tblGrid>
        <w:gridCol w:w="2049"/>
        <w:gridCol w:w="1799"/>
        <w:gridCol w:w="1807"/>
        <w:gridCol w:w="211"/>
        <w:gridCol w:w="511"/>
        <w:gridCol w:w="109"/>
        <w:gridCol w:w="109"/>
        <w:gridCol w:w="109"/>
        <w:gridCol w:w="109"/>
        <w:gridCol w:w="211"/>
        <w:gridCol w:w="511"/>
        <w:gridCol w:w="154"/>
      </w:tblGrid>
      <w:tr>
        <w:trPr/>
        <w:tc>
          <w:tcPr>
            <w:tcW w:w="204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 2025</w:t>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to Condensed Consolidated Statements of Income</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EPS</w:t>
            </w:r>
            <w:r>
              <w:rPr>
                <w:rFonts w:ascii="Arial;sans-serif" w:hAnsi="Arial;sans-serif"/>
                <w:b/>
                <w:color w:val="000000"/>
                <w:sz w:val="12"/>
              </w:rPr>
              <w:t>(1)</w:t>
            </w:r>
            <w:r>
              <w:rPr>
                <w:color w:val="000000"/>
              </w:rPr>
              <w:t xml:space="preserve"> </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Avient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items, after-tax</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after-tax</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net income / EPS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283"/>
        <w:jc w:val="both"/>
        <w:rPr/>
      </w:pPr>
      <w:r>
        <w:rPr>
          <w:rFonts w:ascii="Times New Roman;serif" w:hAnsi="Times New Roman;serif"/>
          <w:b w:val="false"/>
          <w:color w:val="000000"/>
          <w:sz w:val="12"/>
        </w:rPr>
        <w:t>(1)</w:t>
      </w:r>
      <w:r>
        <w:rPr>
          <w:color w:val="000000"/>
        </w:rPr>
        <w:t xml:space="preserve"> </w:t>
      </w:r>
      <w:r>
        <w:rPr>
          <w:rFonts w:ascii="Arial;sans-serif" w:hAnsi="Arial;sans-serif"/>
          <w:b w:val="false"/>
          <w:i/>
          <w:color w:val="000000"/>
          <w:sz w:val="16"/>
        </w:rPr>
        <w:t>Per share amounts may not recalculate from figures presented herein due to rounding</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6080"/>
                <wp:effectExtent l="0" t="0" r="0" b="0"/>
                <wp:wrapNone/>
                <wp:docPr id="16" name="Frame15"/>
                <a:graphic xmlns:a="http://schemas.openxmlformats.org/drawingml/2006/main">
                  <a:graphicData uri="http://schemas.microsoft.com/office/word/2010/wordprocessingShape">
                    <wps:wsp>
                      <wps:cNvSpPr txBox="1"/>
                      <wps:spPr>
                        <a:xfrm>
                          <a:off x="0" y="0"/>
                          <a:ext cx="6480175" cy="386080"/>
                        </a:xfrm>
                        <a:prstGeom prst="rect"/>
                        <a:solidFill>
                          <a:srgbClr val="FFFFFF"/>
                        </a:solidFill>
                      </wps:spPr>
                      <wps:txb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3622</Words>
  <Characters>20849</Characters>
  <CharactersWithSpaces>24123</CharactersWithSpaces>
  <Paragraphs>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