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    </w:t>
      </w:r>
    </w:p>
    <w:p>
      <w:pPr>
        <w:pStyle w:val="TextBody"/>
        <w:bidi w:val="0"/>
        <w:spacing w:lineRule="auto" w:line="288" w:before="0" w:after="0"/>
        <w:jc w:val="center"/>
        <w:rPr>
          <w:color w:val="000000"/>
        </w:rPr>
      </w:pPr>
      <w:r>
        <w:rPr>
          <w:color w:val="000000"/>
        </w:rPr>
        <w:t> </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20"/>
        </w:rPr>
        <w:t xml:space="preserve">For the transition period from </w:t>
      </w:r>
      <w:r>
        <w:rPr>
          <w:color w:val="000000"/>
          <w:u w:val="single"/>
        </w:rPr>
        <w:t>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1-16091 </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0"/>
        </w:rPr>
        <w:t>________________________________________________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AVIENT CORPORATION</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tbl>
      <w:tblPr>
        <w:tblW w:w="6068" w:type="dxa"/>
        <w:jc w:val="center"/>
        <w:tblInd w:w="0" w:type="dxa"/>
        <w:tblLayout w:type="fixed"/>
        <w:tblCellMar>
          <w:top w:w="28" w:type="dxa"/>
          <w:left w:w="28" w:type="dxa"/>
          <w:bottom w:w="28" w:type="dxa"/>
          <w:right w:w="28" w:type="dxa"/>
        </w:tblCellMar>
      </w:tblPr>
      <w:tblGrid>
        <w:gridCol w:w="1009"/>
        <w:gridCol w:w="886"/>
        <w:gridCol w:w="895"/>
        <w:gridCol w:w="109"/>
        <w:gridCol w:w="109"/>
        <w:gridCol w:w="109"/>
        <w:gridCol w:w="109"/>
        <w:gridCol w:w="109"/>
        <w:gridCol w:w="109"/>
        <w:gridCol w:w="766"/>
        <w:gridCol w:w="766"/>
        <w:gridCol w:w="1092"/>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34-1730488</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33587 Walker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44012</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Avon Lake</w:t>
            </w:r>
            <w:r>
              <w:rPr>
                <w:rFonts w:ascii="Times New Roman;serif" w:hAnsi="Times New Roman;serif"/>
                <w:b/>
                <w:color w:val="000000"/>
                <w:sz w:val="20"/>
              </w:rPr>
              <w:t xml:space="preserve">, </w:t>
            </w:r>
            <w:r>
              <w:rPr>
                <w:rFonts w:ascii="Times New Roman;serif" w:hAnsi="Times New Roman;serif"/>
                <w:b/>
                <w:color w:val="000000"/>
                <w:sz w:val="22"/>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p>
      <w:pPr>
        <w:pStyle w:val="TextBody"/>
        <w:bidi w:val="0"/>
        <w:spacing w:lineRule="auto" w:line="288" w:before="18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(440) 930-1000 </w:t>
      </w:r>
    </w:p>
    <w:p>
      <w:pPr>
        <w:pStyle w:val="TextBody"/>
        <w:bidi w:val="0"/>
        <w:spacing w:lineRule="auto" w:line="288" w:before="100" w:after="283"/>
        <w:jc w:val="center"/>
        <w:rPr/>
      </w:pPr>
      <w:r>
        <w:rPr>
          <w:rFonts w:ascii="Times New Roman;serif" w:hAnsi="Times New Roman;serif"/>
          <w:b w:val="false"/>
          <w:color w:val="000000"/>
          <w:sz w:val="20"/>
        </w:rPr>
        <w:t xml:space="preserve">Former name, former address and former fiscal year, if changed since last report: </w:t>
      </w:r>
      <w:r>
        <w:rPr>
          <w:rFonts w:ascii="Times New Roman;serif" w:hAnsi="Times New Roman;serif"/>
          <w:b/>
          <w:color w:val="000000"/>
          <w:sz w:val="20"/>
        </w:rPr>
        <w:t>Not Applicable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78" w:type="dxa"/>
        <w:jc w:val="left"/>
        <w:tblInd w:w="0" w:type="dxa"/>
        <w:tblLayout w:type="fixed"/>
        <w:tblCellMar>
          <w:top w:w="28" w:type="dxa"/>
          <w:left w:w="28" w:type="dxa"/>
          <w:bottom w:w="28" w:type="dxa"/>
          <w:right w:w="28" w:type="dxa"/>
        </w:tblCellMar>
      </w:tblPr>
      <w:tblGrid>
        <w:gridCol w:w="1322"/>
        <w:gridCol w:w="1162"/>
        <w:gridCol w:w="1175"/>
        <w:gridCol w:w="564"/>
        <w:gridCol w:w="564"/>
        <w:gridCol w:w="566"/>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par value $.01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AVNT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8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60" w:after="283"/>
        <w:jc w:val="left"/>
        <w:rPr/>
      </w:pPr>
      <w:r>
        <w:rPr/>
      </w:r>
    </w:p>
    <w:p>
      <w:pPr>
        <w:pStyle w:val="TextBody"/>
        <w:bidi w:val="0"/>
        <w:spacing w:lineRule="auto" w:line="288" w:before="6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number of the registrant’s outstanding common shares, par value $.01 per share, as of June 30, 2026 was 91,719,550.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6840"/>
                <wp:effectExtent l="0" t="0" r="0" b="0"/>
                <wp:wrapNone/>
                <wp:docPr id="1" name="Frame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lineRule="auto" w:line="288" w:before="120" w:after="283"/>
        <w:jc w:val="left"/>
        <w:rPr/>
      </w:pPr>
      <w:r>
        <w:rPr>
          <w:rFonts w:ascii="Arial;sans-serif" w:hAnsi="Arial;sans-serif"/>
          <w:b/>
          <w:color w:val="000000"/>
          <w:sz w:val="20"/>
          <w:u w:val="single"/>
        </w:rPr>
        <w:t>ITEM 1.</w:t>
      </w:r>
      <w:r>
        <w:rPr>
          <w:color w:val="000000"/>
        </w:rPr>
        <w:t xml:space="preserve"> </w:t>
      </w:r>
      <w:r>
        <w:rPr>
          <w:rFonts w:ascii="Arial;sans-serif" w:hAnsi="Arial;sans-serif"/>
          <w:b/>
          <w:color w:val="000000"/>
          <w:sz w:val="20"/>
          <w:u w:val="single"/>
        </w:rPr>
        <w:t>FINANCIAL STATEMENTS</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Income (Unaudited)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(In millions, except per share data) </w:t>
      </w:r>
    </w:p>
    <w:tbl>
      <w:tblPr>
        <w:tblW w:w="10205" w:type="dxa"/>
        <w:jc w:val="center"/>
        <w:tblInd w:w="0" w:type="dxa"/>
        <w:tblLayout w:type="fixed"/>
        <w:tblCellMar>
          <w:top w:w="28" w:type="dxa"/>
          <w:left w:w="28" w:type="dxa"/>
          <w:bottom w:w="28" w:type="dxa"/>
          <w:right w:w="28" w:type="dxa"/>
        </w:tblCellMar>
      </w:tblPr>
      <w:tblGrid>
        <w:gridCol w:w="2118"/>
        <w:gridCol w:w="1394"/>
        <w:gridCol w:w="1412"/>
        <w:gridCol w:w="211"/>
        <w:gridCol w:w="721"/>
        <w:gridCol w:w="109"/>
        <w:gridCol w:w="109"/>
        <w:gridCol w:w="109"/>
        <w:gridCol w:w="109"/>
        <w:gridCol w:w="211"/>
        <w:gridCol w:w="721"/>
        <w:gridCol w:w="109"/>
        <w:gridCol w:w="109"/>
        <w:gridCol w:w="109"/>
        <w:gridCol w:w="109"/>
        <w:gridCol w:w="211"/>
        <w:gridCol w:w="766"/>
        <w:gridCol w:w="109"/>
        <w:gridCol w:w="109"/>
        <w:gridCol w:w="109"/>
        <w:gridCol w:w="109"/>
        <w:gridCol w:w="211"/>
        <w:gridCol w:w="766"/>
        <w:gridCol w:w="155"/>
      </w:tblGrid>
      <w:tr>
        <w:trPr/>
        <w:tc>
          <w:tcPr>
            <w:tcW w:w="211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w:t>
            </w:r>
          </w:p>
        </w:tc>
      </w:tr>
      <w:tr>
        <w:trP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Avient common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Avient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Avient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Plus dilutive impact of 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Anti-dilutive share-based compensation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declared per share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2100"/>
                <wp:effectExtent l="0" t="0" r="0" b="0"/>
                <wp:wrapNone/>
                <wp:docPr id="2" name="Frame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Comprehensive Income (Unaudited)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millions)</w:t>
      </w:r>
    </w:p>
    <w:tbl>
      <w:tblPr>
        <w:tblW w:w="10109" w:type="dxa"/>
        <w:jc w:val="center"/>
        <w:tblInd w:w="0" w:type="dxa"/>
        <w:tblLayout w:type="fixed"/>
        <w:tblCellMar>
          <w:top w:w="28" w:type="dxa"/>
          <w:left w:w="28" w:type="dxa"/>
          <w:bottom w:w="28" w:type="dxa"/>
          <w:right w:w="28" w:type="dxa"/>
        </w:tblCellMar>
      </w:tblPr>
      <w:tblGrid>
        <w:gridCol w:w="2043"/>
        <w:gridCol w:w="1793"/>
        <w:gridCol w:w="181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Translation adjustments and related hedging instruments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 (loss)</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noncontrolling interests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Avient common shareholders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2100"/>
                <wp:effectExtent l="0" t="0" r="0" b="0"/>
                <wp:wrapNone/>
                <wp:docPr id="3" name="Frame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millions)</w:t>
      </w:r>
    </w:p>
    <w:tbl>
      <w:tblPr>
        <w:tblW w:w="7420" w:type="dxa"/>
        <w:jc w:val="center"/>
        <w:tblInd w:w="0" w:type="dxa"/>
        <w:tblLayout w:type="fixed"/>
        <w:tblCellMar>
          <w:top w:w="28" w:type="dxa"/>
          <w:left w:w="28" w:type="dxa"/>
          <w:bottom w:w="28" w:type="dxa"/>
          <w:right w:w="28" w:type="dxa"/>
        </w:tblCellMar>
      </w:tblPr>
      <w:tblGrid>
        <w:gridCol w:w="1443"/>
        <w:gridCol w:w="1270"/>
        <w:gridCol w:w="1277"/>
        <w:gridCol w:w="250"/>
        <w:gridCol w:w="910"/>
        <w:gridCol w:w="129"/>
        <w:gridCol w:w="109"/>
        <w:gridCol w:w="109"/>
        <w:gridCol w:w="109"/>
        <w:gridCol w:w="338"/>
        <w:gridCol w:w="1229"/>
        <w:gridCol w:w="247"/>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(Unaudited)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1,400.9 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6,004.8 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6,025.6 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and current portion of long-term debt</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846.3 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non-current liabilities</w:t>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2,747.9 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2,793.0 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Avient shareholders’ equity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equity</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2,386.3 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6,004.8 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6,025.6 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2100"/>
                <wp:effectExtent l="0" t="0" r="0" b="0"/>
                <wp:wrapNone/>
                <wp:docPr id="4" name="Frame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3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3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Avient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(Unaudited)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(In millions)</w:t>
      </w:r>
    </w:p>
    <w:tbl>
      <w:tblPr>
        <w:tblW w:w="9294" w:type="dxa"/>
        <w:jc w:val="center"/>
        <w:tblInd w:w="0" w:type="dxa"/>
        <w:tblLayout w:type="fixed"/>
        <w:tblCellMar>
          <w:top w:w="28" w:type="dxa"/>
          <w:left w:w="28" w:type="dxa"/>
          <w:bottom w:w="28" w:type="dxa"/>
          <w:right w:w="28" w:type="dxa"/>
        </w:tblCellMar>
      </w:tblPr>
      <w:tblGrid>
        <w:gridCol w:w="2395"/>
        <w:gridCol w:w="2106"/>
        <w:gridCol w:w="2113"/>
        <w:gridCol w:w="211"/>
        <w:gridCol w:w="616"/>
        <w:gridCol w:w="109"/>
        <w:gridCol w:w="109"/>
        <w:gridCol w:w="109"/>
        <w:gridCol w:w="109"/>
        <w:gridCol w:w="211"/>
        <w:gridCol w:w="616"/>
        <w:gridCol w:w="109"/>
        <w:gridCol w:w="109"/>
        <w:gridCol w:w="109"/>
        <w:gridCol w:w="109"/>
        <w:gridCol w:w="154"/>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Cloud-based enterprise resource planning system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restructuring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incentive accruals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insurance recovery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assets and liabilities,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long-term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2100"/>
                <wp:effectExtent l="0" t="0" r="0" b="0"/>
                <wp:wrapNone/>
                <wp:docPr id="5" name="Frame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4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4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Avient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Shareholders' Equity (Unaudited)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(In millions)</w:t>
      </w:r>
    </w:p>
    <w:p>
      <w:pPr>
        <w:pStyle w:val="TextBody"/>
        <w:bidi w:val="0"/>
        <w:spacing w:before="0" w:after="0"/>
        <w:jc w:val="center"/>
        <w:rPr/>
      </w:pPr>
      <w:r>
        <w:rPr/>
      </w:r>
    </w:p>
    <w:tbl>
      <w:tblPr>
        <w:tblW w:w="13192" w:type="dxa"/>
        <w:jc w:val="center"/>
        <w:tblInd w:w="0" w:type="dxa"/>
        <w:tblLayout w:type="fixed"/>
        <w:tblCellMar>
          <w:top w:w="28" w:type="dxa"/>
          <w:left w:w="28" w:type="dxa"/>
          <w:bottom w:w="28" w:type="dxa"/>
          <w:right w:w="28" w:type="dxa"/>
        </w:tblCellMar>
      </w:tblPr>
      <w:tblGrid>
        <w:gridCol w:w="658"/>
        <w:gridCol w:w="196"/>
        <w:gridCol w:w="197"/>
        <w:gridCol w:w="109"/>
        <w:gridCol w:w="109"/>
        <w:gridCol w:w="109"/>
        <w:gridCol w:w="248"/>
        <w:gridCol w:w="248"/>
        <w:gridCol w:w="221"/>
        <w:gridCol w:w="109"/>
        <w:gridCol w:w="109"/>
        <w:gridCol w:w="109"/>
        <w:gridCol w:w="225"/>
        <w:gridCol w:w="225"/>
        <w:gridCol w:w="226"/>
        <w:gridCol w:w="109"/>
        <w:gridCol w:w="109"/>
        <w:gridCol w:w="109"/>
        <w:gridCol w:w="188"/>
        <w:gridCol w:w="359"/>
        <w:gridCol w:w="114"/>
        <w:gridCol w:w="109"/>
        <w:gridCol w:w="109"/>
        <w:gridCol w:w="109"/>
        <w:gridCol w:w="181"/>
        <w:gridCol w:w="616"/>
        <w:gridCol w:w="109"/>
        <w:gridCol w:w="109"/>
        <w:gridCol w:w="109"/>
        <w:gridCol w:w="109"/>
        <w:gridCol w:w="181"/>
        <w:gridCol w:w="616"/>
        <w:gridCol w:w="109"/>
        <w:gridCol w:w="109"/>
        <w:gridCol w:w="109"/>
        <w:gridCol w:w="109"/>
        <w:gridCol w:w="204"/>
        <w:gridCol w:w="559"/>
        <w:gridCol w:w="123"/>
        <w:gridCol w:w="109"/>
        <w:gridCol w:w="109"/>
        <w:gridCol w:w="109"/>
        <w:gridCol w:w="252"/>
        <w:gridCol w:w="691"/>
        <w:gridCol w:w="153"/>
        <w:gridCol w:w="109"/>
        <w:gridCol w:w="109"/>
        <w:gridCol w:w="109"/>
        <w:gridCol w:w="197"/>
        <w:gridCol w:w="673"/>
        <w:gridCol w:w="121"/>
        <w:gridCol w:w="109"/>
        <w:gridCol w:w="109"/>
        <w:gridCol w:w="109"/>
        <w:gridCol w:w="275"/>
        <w:gridCol w:w="640"/>
        <w:gridCol w:w="166"/>
        <w:gridCol w:w="109"/>
        <w:gridCol w:w="109"/>
        <w:gridCol w:w="109"/>
        <w:gridCol w:w="181"/>
        <w:gridCol w:w="61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Shareholders’ 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br/>
              <w:t>Shares Held</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br/>
              <w:t>Shares Held</w:t>
              <w:br/>
              <w:t>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w:t>
              <w:br/>
              <w:t>Other</w:t>
              <w:br/>
              <w:t>Comprehensive</w:t>
              <w:b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 Avient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 xml:space="preserve">Total </w:t>
              <w:b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(30.6)</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(927.8)</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(106.7)</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2,374.2 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2,386.3 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Cash dividends declared -- $0.2750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Share-based compensation and exercise of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122.2 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(30.5)</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(926.6)</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(105.5)</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2,405.8 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2,418.0 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Cash dividends declared -- $0.2750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Share-based compensation and exercise of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(30.5)</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(926.4)</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(116.6)</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2,436.9 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3092" w:type="dxa"/>
        <w:jc w:val="center"/>
        <w:tblInd w:w="0" w:type="dxa"/>
        <w:tblLayout w:type="fixed"/>
        <w:tblCellMar>
          <w:top w:w="28" w:type="dxa"/>
          <w:left w:w="28" w:type="dxa"/>
          <w:bottom w:w="28" w:type="dxa"/>
          <w:right w:w="28" w:type="dxa"/>
        </w:tblCellMar>
      </w:tblPr>
      <w:tblGrid>
        <w:gridCol w:w="658"/>
        <w:gridCol w:w="196"/>
        <w:gridCol w:w="197"/>
        <w:gridCol w:w="109"/>
        <w:gridCol w:w="109"/>
        <w:gridCol w:w="109"/>
        <w:gridCol w:w="248"/>
        <w:gridCol w:w="248"/>
        <w:gridCol w:w="221"/>
        <w:gridCol w:w="109"/>
        <w:gridCol w:w="109"/>
        <w:gridCol w:w="109"/>
        <w:gridCol w:w="225"/>
        <w:gridCol w:w="225"/>
        <w:gridCol w:w="226"/>
        <w:gridCol w:w="109"/>
        <w:gridCol w:w="109"/>
        <w:gridCol w:w="109"/>
        <w:gridCol w:w="188"/>
        <w:gridCol w:w="359"/>
        <w:gridCol w:w="114"/>
        <w:gridCol w:w="109"/>
        <w:gridCol w:w="109"/>
        <w:gridCol w:w="109"/>
        <w:gridCol w:w="181"/>
        <w:gridCol w:w="616"/>
        <w:gridCol w:w="109"/>
        <w:gridCol w:w="109"/>
        <w:gridCol w:w="109"/>
        <w:gridCol w:w="109"/>
        <w:gridCol w:w="181"/>
        <w:gridCol w:w="616"/>
        <w:gridCol w:w="109"/>
        <w:gridCol w:w="109"/>
        <w:gridCol w:w="109"/>
        <w:gridCol w:w="109"/>
        <w:gridCol w:w="181"/>
        <w:gridCol w:w="496"/>
        <w:gridCol w:w="109"/>
        <w:gridCol w:w="109"/>
        <w:gridCol w:w="109"/>
        <w:gridCol w:w="109"/>
        <w:gridCol w:w="252"/>
        <w:gridCol w:w="691"/>
        <w:gridCol w:w="153"/>
        <w:gridCol w:w="109"/>
        <w:gridCol w:w="109"/>
        <w:gridCol w:w="109"/>
        <w:gridCol w:w="197"/>
        <w:gridCol w:w="673"/>
        <w:gridCol w:w="121"/>
        <w:gridCol w:w="109"/>
        <w:gridCol w:w="109"/>
        <w:gridCol w:w="109"/>
        <w:gridCol w:w="275"/>
        <w:gridCol w:w="640"/>
        <w:gridCol w:w="166"/>
        <w:gridCol w:w="109"/>
        <w:gridCol w:w="109"/>
        <w:gridCol w:w="109"/>
        <w:gridCol w:w="181"/>
        <w:gridCol w:w="61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Shareholders’ 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br/>
              <w:t>Shares  Held</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br/>
              <w:t>Shares  Held</w:t>
              <w:br/>
              <w:t>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w:t>
              <w:br/>
              <w:t>Other</w:t>
              <w:br/>
              <w:t>Comprehensive</w:t>
              <w:b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 Avient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 xml:space="preserve">Total </w:t>
              <w:b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Balance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(30.8)</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(929.6)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(177.8)</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2,313.8 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2,329.6 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Cash dividends declared -- $0.2700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Share-based compensation and exercise of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122.2 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(30.7)</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1,536.3 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(928.5)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(148.3)</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2,298.3 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16.1 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2,314.4 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Noncontrolling interest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Cash dividends declared -- $0.2700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Share-based compensation and exercise of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122.2 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(30.7)</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(928.4)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(118.9)</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2,358.3 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15.7 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2,374.0 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2100"/>
                <wp:effectExtent l="0" t="0" r="0" b="0"/>
                <wp:wrapNone/>
                <wp:docPr id="6"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5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5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Note 1 — BASIS OF PRESENTATION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Form 10-Q instructions and in the opinion of management contain all adjustments, including those that are normal, recurring and necessary to present fairly the financial position, results of operations and cash flows for the periods presented. The preparation of financial statements in conformity with generally accepted accounting principles requires management to make estimates and assumptions that affect the amounts reported in the financial statements and accompanying notes. Actual results could differ from these estimates. These interim financial statements should be read in conjunction with the consolidated financial statements and accompanying notes included in the Annual Report on Form 10-K for the year ended December 31, 2025 of Avient Corporation. When used in this Quarterly Report on Form 10-Q, the terms “we,” “us,” “our,” “Avient” and the “Company” mean Avient Corporation and its consolidated subsidiaries.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results for the three and six months ended June 30, 2026 are not necessarily indicative of the results that may be attained in subsequent periods or for the year ending December 31, 2026.</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Accounting Standards Adopted</w:t>
      </w:r>
    </w:p>
    <w:p>
      <w:pPr>
        <w:pStyle w:val="TextBody"/>
        <w:bidi w:val="0"/>
        <w:spacing w:lineRule="auto" w:line="288" w:before="120" w:after="283"/>
        <w:jc w:val="both"/>
        <w:rPr/>
      </w:pPr>
      <w:r>
        <w:rPr>
          <w:rFonts w:ascii="Arial;sans-serif" w:hAnsi="Arial;sans-serif"/>
          <w:b w:val="false"/>
          <w:color w:val="000000"/>
          <w:sz w:val="20"/>
        </w:rPr>
        <w:t xml:space="preserve">In July 2025, the Financial Accounting Standards Board (FASB) issued Accounting Standards Update (ASU) 2025-05, </w:t>
      </w:r>
      <w:r>
        <w:rPr>
          <w:rFonts w:ascii="Arial;sans-serif" w:hAnsi="Arial;sans-serif"/>
          <w:b w:val="false"/>
          <w:i/>
          <w:color w:val="000000"/>
          <w:sz w:val="20"/>
        </w:rPr>
        <w:t xml:space="preserve">Financial Instruments – Credit Losses (Topic 326): Measurement of Credit Losses for Accounts Receivable and Contract Assets </w:t>
      </w:r>
      <w:r>
        <w:rPr>
          <w:rFonts w:ascii="Arial;sans-serif" w:hAnsi="Arial;sans-serif"/>
          <w:b w:val="false"/>
          <w:color w:val="000000"/>
          <w:sz w:val="20"/>
        </w:rPr>
        <w:t xml:space="preserve">(ASU 2025-05). This accounting standard provides a practical expedient allowing entities to assume that current conditions as of the balance sheet date remain unchanged over the remaining life of the asset when estimating expected credit losses. The Company adopted the ASU effective January 1, 2026 on a prospective basis. The adoption did not have a material impact on the Company's allowance for doubtful accounts.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Accounting Standards Not Yet Adopted</w:t>
      </w:r>
    </w:p>
    <w:p>
      <w:pPr>
        <w:pStyle w:val="TextBody"/>
        <w:bidi w:val="0"/>
        <w:spacing w:lineRule="auto" w:line="288" w:before="120" w:after="283"/>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 (Subtopic 220-40): Disaggregation of Income Statement Expenses (ASU 2024-03).</w:t>
      </w:r>
      <w:r>
        <w:rPr>
          <w:color w:val="000000"/>
        </w:rPr>
        <w:t xml:space="preserve"> </w:t>
      </w:r>
      <w:r>
        <w:rPr>
          <w:rFonts w:ascii="Arial;sans-serif" w:hAnsi="Arial;sans-serif"/>
          <w:b w:val="false"/>
          <w:color w:val="000000"/>
          <w:sz w:val="20"/>
        </w:rPr>
        <w:t>This accounting standard requires disaggregated income statement expense disclosures on an annual and interim basis, including inventory purchases, employee compensation, depreciation, and intangible asset amortization for each income statement line item that contains these expenses. The standard also requires disclosure of total selling expenses on an annual and interim basis, and the definition of those expenses disclosed annually. ASU 2024-03 is effective for annual reporting periods beginning after December 15, 2026, and interim reporting periods beginning after December 15, 2027, and may be applied prospectively or retrospectively. The Company is evaluating the impact of ASU 2024-03. As the standard will only impact its disclosures, there will be no material impact to the consolidated financial statements.</w:t>
      </w:r>
    </w:p>
    <w:p>
      <w:pPr>
        <w:pStyle w:val="TextBody"/>
        <w:bidi w:val="0"/>
        <w:spacing w:lineRule="auto" w:line="288" w:before="120" w:after="283"/>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 xml:space="preserve">Intangibles – Goodwill and Other – Internal-Use Software (Subtopic 350-40) Targeted Improvements to the Accounting for Internal-Use Software </w:t>
      </w:r>
      <w:r>
        <w:rPr>
          <w:rFonts w:ascii="Arial;sans-serif" w:hAnsi="Arial;sans-serif"/>
          <w:b w:val="false"/>
          <w:color w:val="000000"/>
          <w:sz w:val="20"/>
        </w:rPr>
        <w:t>(ASU 2025-06). This accounting standard changes when software project costs should be capitalized by removing all references to development stages and requiring costs to be capitalized when (1) the Company authorizes and commits to funding the software project and (2) it is probable the software project will be completed. The standard also requires additional annual and interim disclosures, including the capitalized software balance and accumulated amortization. ASU 2025-06 is effective for annual reporting periods, including interim reporting periods within those annual periods, beginning after December 15, 2027, with early adoption permitted and may be applied prospectively, retrospectively, or using a modified prospective transition approach. The Company is evaluating the impact of ASU 2025-06 and expects the standard will not have a material impact on the consolidated financial statements and related disclosures.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2100"/>
                <wp:effectExtent l="0" t="0" r="0" b="0"/>
                <wp:wrapNone/>
                <wp:docPr id="7"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6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6 AVIENT CORPORATION</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 GOODWILL AND INTANGIBLE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Goodwill as of June 30, 2026 and December 31, 2025 and changes in the carrying amount of goodwill by segment were as follows:</w:t>
      </w:r>
    </w:p>
    <w:tbl>
      <w:tblPr>
        <w:tblW w:w="9275" w:type="dxa"/>
        <w:jc w:val="left"/>
        <w:tblInd w:w="0" w:type="dxa"/>
        <w:tblLayout w:type="fixed"/>
        <w:tblCellMar>
          <w:top w:w="28" w:type="dxa"/>
          <w:left w:w="28" w:type="dxa"/>
          <w:bottom w:w="28" w:type="dxa"/>
          <w:right w:w="28" w:type="dxa"/>
        </w:tblCellMar>
      </w:tblPr>
      <w:tblGrid>
        <w:gridCol w:w="962"/>
        <w:gridCol w:w="845"/>
        <w:gridCol w:w="847"/>
        <w:gridCol w:w="566"/>
        <w:gridCol w:w="1658"/>
        <w:gridCol w:w="295"/>
        <w:gridCol w:w="109"/>
        <w:gridCol w:w="109"/>
        <w:gridCol w:w="109"/>
        <w:gridCol w:w="408"/>
        <w:gridCol w:w="1481"/>
        <w:gridCol w:w="210"/>
        <w:gridCol w:w="109"/>
        <w:gridCol w:w="109"/>
        <w:gridCol w:w="109"/>
        <w:gridCol w:w="109"/>
        <w:gridCol w:w="109"/>
        <w:gridCol w:w="211"/>
        <w:gridCol w:w="76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Specialty Engineered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Color, Additives and Inks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711.4 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1,046.2 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w:t>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1,040.2 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Indefinite and finite-lived intangible assets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6"/>
        <w:gridCol w:w="776"/>
        <w:gridCol w:w="783"/>
        <w:gridCol w:w="287"/>
        <w:gridCol w:w="1046"/>
        <w:gridCol w:w="148"/>
        <w:gridCol w:w="109"/>
        <w:gridCol w:w="109"/>
        <w:gridCol w:w="109"/>
        <w:gridCol w:w="509"/>
        <w:gridCol w:w="1524"/>
        <w:gridCol w:w="265"/>
        <w:gridCol w:w="109"/>
        <w:gridCol w:w="109"/>
        <w:gridCol w:w="109"/>
        <w:gridCol w:w="469"/>
        <w:gridCol w:w="1140"/>
        <w:gridCol w:w="245"/>
        <w:gridCol w:w="109"/>
        <w:gridCol w:w="109"/>
        <w:gridCol w:w="109"/>
        <w:gridCol w:w="211"/>
        <w:gridCol w:w="766"/>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Currency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r>
          </w:p>
        </w:tc>
      </w:tr>
      <w:tr>
        <w:trPr/>
        <w:tc>
          <w:tcPr>
            <w:tcW w:w="2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Patents, technology and other</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1,936.0 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97.0 </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1,420.8 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6"/>
        <w:gridCol w:w="776"/>
        <w:gridCol w:w="783"/>
        <w:gridCol w:w="287"/>
        <w:gridCol w:w="1046"/>
        <w:gridCol w:w="148"/>
        <w:gridCol w:w="109"/>
        <w:gridCol w:w="109"/>
        <w:gridCol w:w="109"/>
        <w:gridCol w:w="509"/>
        <w:gridCol w:w="1524"/>
        <w:gridCol w:w="265"/>
        <w:gridCol w:w="109"/>
        <w:gridCol w:w="109"/>
        <w:gridCol w:w="109"/>
        <w:gridCol w:w="417"/>
        <w:gridCol w:w="1220"/>
        <w:gridCol w:w="217"/>
        <w:gridCol w:w="109"/>
        <w:gridCol w:w="109"/>
        <w:gridCol w:w="109"/>
        <w:gridCol w:w="211"/>
        <w:gridCol w:w="766"/>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Currency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r>
          </w:p>
        </w:tc>
      </w:tr>
      <w:tr>
        <w:trPr/>
        <w:tc>
          <w:tcPr>
            <w:tcW w:w="2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Patents, technology and other</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1,936.0 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(571.1)</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1,492.4 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8"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7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7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 RESTRUCTURING, IMPAIRMENT AND OTHER CHARGES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first quarter of 2025, the Company completed a review of its cloud-based enterprise resource planning system, S/4HANA, including updated project timelines, cost incurred to date, required internal resources and expected costs to complete the initial site implementations, and the evolution of options that could provide better returns for shareholders. As a result of this review, the Company determined it would cease the ongoing development of S/4HANA.</w:t>
      </w:r>
    </w:p>
    <w:p>
      <w:pPr>
        <w:pStyle w:val="TextBody"/>
        <w:bidi w:val="0"/>
        <w:spacing w:lineRule="auto" w:line="288" w:before="120" w:after="283"/>
        <w:jc w:val="both"/>
        <w:rPr/>
      </w:pPr>
      <w:r>
        <w:rPr>
          <w:rFonts w:ascii="Arial;sans-serif" w:hAnsi="Arial;sans-serif"/>
          <w:b w:val="false"/>
          <w:color w:val="000000"/>
          <w:sz w:val="20"/>
        </w:rPr>
        <w:t xml:space="preserve">As a result of this decision, in the first quarter of 2025, the Company recognized a non-cash, pre-tax impairment charge of $71.6 million associated with capitalized implementation costs. The Company also recognized pre-tax charges of $14.7 million associated with unpaid contractual obligations for hosting fees. Further, the Company recognized charges of $2.8 million associated with severance actions resulting from the decision to cease development of S/4HANA. These charges are included in </w:t>
      </w:r>
      <w:r>
        <w:rPr>
          <w:rFonts w:ascii="Arial;sans-serif" w:hAnsi="Arial;sans-serif"/>
          <w:b w:val="false"/>
          <w:i/>
          <w:color w:val="000000"/>
          <w:sz w:val="20"/>
        </w:rPr>
        <w:t xml:space="preserve">Selling and administrative expense </w:t>
      </w:r>
      <w:r>
        <w:rPr>
          <w:rFonts w:ascii="Arial;sans-serif" w:hAnsi="Arial;sans-serif"/>
          <w:b w:val="false"/>
          <w:color w:val="000000"/>
          <w:sz w:val="20"/>
        </w:rPr>
        <w:t xml:space="preserve">within the </w:t>
      </w:r>
      <w:r>
        <w:rPr>
          <w:rFonts w:ascii="Arial;sans-serif" w:hAnsi="Arial;sans-serif"/>
          <w:b w:val="false"/>
          <w:i/>
          <w:color w:val="000000"/>
          <w:sz w:val="20"/>
        </w:rPr>
        <w:t>Condensed Consolidated Statements of Income</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Further restructuring charges in 2026 and 2025 were recognized associated with workforce reductions and plant closures. These actions have been taken as a result of productivity initiatives and organizational changes.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summary of all restructuring activity is shown below:</w:t>
      </w:r>
    </w:p>
    <w:tbl>
      <w:tblPr>
        <w:tblW w:w="8607" w:type="dxa"/>
        <w:jc w:val="left"/>
        <w:tblInd w:w="0" w:type="dxa"/>
        <w:tblLayout w:type="fixed"/>
        <w:tblCellMar>
          <w:top w:w="28" w:type="dxa"/>
          <w:left w:w="28" w:type="dxa"/>
          <w:bottom w:w="28" w:type="dxa"/>
          <w:right w:w="28" w:type="dxa"/>
        </w:tblCellMar>
      </w:tblPr>
      <w:tblGrid>
        <w:gridCol w:w="1109"/>
        <w:gridCol w:w="973"/>
        <w:gridCol w:w="977"/>
        <w:gridCol w:w="498"/>
        <w:gridCol w:w="1207"/>
        <w:gridCol w:w="259"/>
        <w:gridCol w:w="109"/>
        <w:gridCol w:w="109"/>
        <w:gridCol w:w="109"/>
        <w:gridCol w:w="597"/>
        <w:gridCol w:w="1149"/>
        <w:gridCol w:w="308"/>
        <w:gridCol w:w="109"/>
        <w:gridCol w:w="109"/>
        <w:gridCol w:w="109"/>
        <w:gridCol w:w="211"/>
        <w:gridCol w:w="511"/>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Workforce 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Plant closing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 2025</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utilization and translation</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utilization and translation</w:t>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These restructuring charges were included in </w:t>
      </w:r>
      <w:r>
        <w:rPr>
          <w:rFonts w:ascii="Arial;sans-serif" w:hAnsi="Arial;sans-serif"/>
          <w:b w:val="false"/>
          <w:i/>
          <w:color w:val="000000"/>
          <w:sz w:val="20"/>
        </w:rPr>
        <w:t>Cost of sales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Selling and administrative expense</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Note 4 — INVENTORIES, NET </w:t>
      </w:r>
    </w:p>
    <w:p>
      <w:pPr>
        <w:pStyle w:val="TextBody"/>
        <w:bidi w:val="0"/>
        <w:spacing w:lineRule="auto" w:line="288" w:before="100" w:after="283"/>
        <w:jc w:val="both"/>
        <w:rPr/>
      </w:pPr>
      <w:r>
        <w:rPr>
          <w:rFonts w:ascii="Arial;sans-serif" w:hAnsi="Arial;sans-serif"/>
          <w:b w:val="false"/>
          <w:color w:val="000000"/>
          <w:sz w:val="20"/>
        </w:rPr>
        <w:t xml:space="preserve">Components of </w:t>
      </w:r>
      <w:r>
        <w:rPr>
          <w:rFonts w:ascii="Arial;sans-serif" w:hAnsi="Arial;sans-serif"/>
          <w:b w:val="false"/>
          <w:i/>
          <w:color w:val="000000"/>
          <w:sz w:val="20"/>
        </w:rPr>
        <w:t>Inventories, net</w:t>
      </w:r>
      <w:r>
        <w:rPr>
          <w:color w:val="000000"/>
        </w:rPr>
        <w:t xml:space="preserve"> </w:t>
      </w:r>
      <w:r>
        <w:rPr>
          <w:rFonts w:ascii="Arial;sans-serif" w:hAnsi="Arial;sans-serif"/>
          <w:b w:val="false"/>
          <w:color w:val="000000"/>
          <w:sz w:val="20"/>
        </w:rPr>
        <w:t>are as follows:</w:t>
      </w:r>
    </w:p>
    <w:tbl>
      <w:tblPr>
        <w:tblW w:w="6806" w:type="dxa"/>
        <w:jc w:val="left"/>
        <w:tblInd w:w="0" w:type="dxa"/>
        <w:tblLayout w:type="fixed"/>
        <w:tblCellMar>
          <w:top w:w="28" w:type="dxa"/>
          <w:left w:w="28" w:type="dxa"/>
          <w:bottom w:w="28" w:type="dxa"/>
          <w:right w:w="28" w:type="dxa"/>
        </w:tblCellMar>
      </w:tblPr>
      <w:tblGrid>
        <w:gridCol w:w="865"/>
        <w:gridCol w:w="758"/>
        <w:gridCol w:w="762"/>
        <w:gridCol w:w="402"/>
        <w:gridCol w:w="1175"/>
        <w:gridCol w:w="207"/>
        <w:gridCol w:w="109"/>
        <w:gridCol w:w="109"/>
        <w:gridCol w:w="109"/>
        <w:gridCol w:w="496"/>
        <w:gridCol w:w="1449"/>
        <w:gridCol w:w="365"/>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products</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 in process</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 and supplies</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367.2 </w:t>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Note 5 — PROPERTY, NET </w:t>
      </w:r>
    </w:p>
    <w:p>
      <w:pPr>
        <w:pStyle w:val="TextBody"/>
        <w:bidi w:val="0"/>
        <w:spacing w:lineRule="auto" w:line="288" w:before="100" w:after="283"/>
        <w:jc w:val="both"/>
        <w:rPr/>
      </w:pPr>
      <w:r>
        <w:rPr>
          <w:rFonts w:ascii="Arial;sans-serif" w:hAnsi="Arial;sans-serif"/>
          <w:b w:val="false"/>
          <w:color w:val="000000"/>
          <w:sz w:val="20"/>
        </w:rPr>
        <w:t xml:space="preserve">Components of </w:t>
      </w:r>
      <w:r>
        <w:rPr>
          <w:rFonts w:ascii="Arial;sans-serif" w:hAnsi="Arial;sans-serif"/>
          <w:b w:val="false"/>
          <w:i/>
          <w:color w:val="000000"/>
          <w:sz w:val="20"/>
        </w:rPr>
        <w:t xml:space="preserve">Property, net </w:t>
      </w:r>
      <w:r>
        <w:rPr>
          <w:rFonts w:ascii="Arial;sans-serif" w:hAnsi="Arial;sans-serif"/>
          <w:b w:val="false"/>
          <w:color w:val="000000"/>
          <w:sz w:val="20"/>
        </w:rPr>
        <w:t>are as follows:</w:t>
      </w:r>
    </w:p>
    <w:tbl>
      <w:tblPr>
        <w:tblW w:w="7091" w:type="dxa"/>
        <w:jc w:val="left"/>
        <w:tblInd w:w="0" w:type="dxa"/>
        <w:tblLayout w:type="fixed"/>
        <w:tblCellMar>
          <w:top w:w="28" w:type="dxa"/>
          <w:left w:w="28" w:type="dxa"/>
          <w:bottom w:w="28" w:type="dxa"/>
          <w:right w:w="28" w:type="dxa"/>
        </w:tblCellMar>
      </w:tblPr>
      <w:tblGrid>
        <w:gridCol w:w="967"/>
        <w:gridCol w:w="849"/>
        <w:gridCol w:w="854"/>
        <w:gridCol w:w="402"/>
        <w:gridCol w:w="1175"/>
        <w:gridCol w:w="207"/>
        <w:gridCol w:w="109"/>
        <w:gridCol w:w="109"/>
        <w:gridCol w:w="109"/>
        <w:gridCol w:w="496"/>
        <w:gridCol w:w="1449"/>
        <w:gridCol w:w="365"/>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and land improvements</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gross</w:t>
            </w:r>
          </w:p>
        </w:tc>
        <w:tc>
          <w:tcPr>
            <w:tcW w:w="15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1,947.8 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1,938.9 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(950.1)</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net</w:t>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961.9 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988.8 </w:t>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6 —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and six months ended June 30, 2026, the Company’s effective tax rate of 26.3% and 24.7%, respectively, which is above the U.S federal rate of 21.0% primarily due to the tax rate differential on foreign earnings, unfavorable U.S. permanent items, and withholding taxes on foreign earnings. These unfavorable items were partially offset by U.S. research and development (R&amp;D) credits, along with favorable foreign permanent items, most notably tax incentives associated with R&amp;D.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2100"/>
                <wp:effectExtent l="0" t="0" r="0" b="0"/>
                <wp:wrapNone/>
                <wp:docPr id="9"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8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8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and six months ended June 30, 2025, the Company's effective tax rate was 24.5% and 24.2%, respectively, which is above the U.S. federal statutory rate of 21.0% primarily due to the international tax rate differential and withholding tax on foreign earnings. These unfavorable items were partially offset by the favorable impact of foreign permanent items, most notably tax incentives associated with R&amp;D.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December 2024, Avient received a Notice of Deficiency (Notice) from the U.S. Internal Revenue Service (IRS) proposing an adjustment to the 2019 tax year resulting from a disallowed capital loss. The proposed incremental tax associated with the Notice is $23.8 million plus estimated interest of $8.2 million. We contested the Notice by filing a petition in U.S. Tax Court on March 4, 2025. The IRS' answer to Avient's petition included an additional accuracy-related penalty of $4.8 million and is subject to interest. The Company believes that the proposed penalty is also without merit, and we intend to contest the penalty vigorously in U.S. Tax Court. However, there can be no assurance this dispute with the IRS will be resolved favorably. As of June 30, 2026, the Company has not recorded any income tax provision related to this matter; therefore, an unfavorable ruling in U.S. Tax Court or settlement would adversely impact our effective tax rate and result in a cash tax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7 — FINANCING ARRANGEMENTS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Debt consists of the following instruments:</w:t>
      </w:r>
    </w:p>
    <w:tbl>
      <w:tblPr>
        <w:tblW w:w="10205" w:type="dxa"/>
        <w:jc w:val="left"/>
        <w:tblInd w:w="0" w:type="dxa"/>
        <w:tblLayout w:type="fixed"/>
        <w:tblCellMar>
          <w:top w:w="28" w:type="dxa"/>
          <w:left w:w="28" w:type="dxa"/>
          <w:bottom w:w="28" w:type="dxa"/>
          <w:right w:w="28" w:type="dxa"/>
        </w:tblCellMar>
      </w:tblPr>
      <w:tblGrid>
        <w:gridCol w:w="959"/>
        <w:gridCol w:w="759"/>
        <w:gridCol w:w="766"/>
        <w:gridCol w:w="253"/>
        <w:gridCol w:w="919"/>
        <w:gridCol w:w="130"/>
        <w:gridCol w:w="109"/>
        <w:gridCol w:w="109"/>
        <w:gridCol w:w="109"/>
        <w:gridCol w:w="620"/>
        <w:gridCol w:w="1507"/>
        <w:gridCol w:w="324"/>
        <w:gridCol w:w="109"/>
        <w:gridCol w:w="109"/>
        <w:gridCol w:w="109"/>
        <w:gridCol w:w="211"/>
        <w:gridCol w:w="766"/>
        <w:gridCol w:w="109"/>
        <w:gridCol w:w="109"/>
        <w:gridCol w:w="109"/>
        <w:gridCol w:w="109"/>
        <w:gridCol w:w="488"/>
        <w:gridCol w:w="360"/>
        <w:gridCol w:w="1053"/>
      </w:tblGrid>
      <w:tr>
        <w:trPr/>
        <w:tc>
          <w:tcPr>
            <w:tcW w:w="9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June 30, 2026 (in millions)</w:t>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Unamortized discount and debt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interest rate</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revolving credit facility due 2030</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term loan due 2029</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7.125% senior notes due 2030</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7.125 </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6.250% senior notes due 2031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6.250 </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short-term and current portion of 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 net of current portion</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1,898.1 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9"/>
        <w:gridCol w:w="798"/>
        <w:gridCol w:w="801"/>
        <w:gridCol w:w="252"/>
        <w:gridCol w:w="918"/>
        <w:gridCol w:w="130"/>
        <w:gridCol w:w="109"/>
        <w:gridCol w:w="109"/>
        <w:gridCol w:w="109"/>
        <w:gridCol w:w="617"/>
        <w:gridCol w:w="1498"/>
        <w:gridCol w:w="322"/>
        <w:gridCol w:w="109"/>
        <w:gridCol w:w="109"/>
        <w:gridCol w:w="109"/>
        <w:gridCol w:w="211"/>
        <w:gridCol w:w="766"/>
        <w:gridCol w:w="109"/>
        <w:gridCol w:w="109"/>
        <w:gridCol w:w="109"/>
        <w:gridCol w:w="109"/>
        <w:gridCol w:w="487"/>
        <w:gridCol w:w="358"/>
        <w:gridCol w:w="1048"/>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December 31, 2025 (in millions)</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Unamortized discount and debt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interest rate</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revolving credit facility due 2030</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term loan due 2029</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6.01 </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7.125% senior notes due 2030</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7.125 </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6.250% senior notes due 2031</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6.250 </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short-term and current portion of long-term debt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 net of current portion</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1,948.4 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On March 12, 2025, the Company refinanced its senior secured term loan by amending the credit agreement governing such term loan (the Term Loan Amendment). The Term Loan Amendment reduced the interest rate per annum by 25 basis points, which now is either (i) Adjusted Term SOFR (as defined in the Term Loan Amendment) plus 1.75%, or (ii) a Base Rate (as defined in the Term Loan Amendment) plus 0.75%. The maturity date and other terms and conditions are substantially the same as the terms and conditions under the credit agreement immediately prior to the Term Loan Amendment.</w:t>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On June 12, 2025, the Company entered into a revolving credit agreement (the Revolving Credit Agreement) with various financial institutions as lenders, and JPMorgan Chase Bank, N.A., as administrative agent, which replaced our previous credit agreement. The Revolving Credit Agreement provides for a senior secured revolving credit facility of up to $500.0 million, which may be increased by up to $250.0 million, subject to certain conditions. Loans under the Revolving Credit Agreement will mature on June 12, 2030. The Revolving Credit Agreement contains representations and warranties, affirmative covenants, negative covenants and events of default that are substantially similar to those contained in the Company's existing term loan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2100"/>
                <wp:effectExtent l="0" t="0" r="0" b="0"/>
                <wp:wrapNone/>
                <wp:docPr id="10" name="Frame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9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9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In 2025, the Company made voluntary prepayments of $150.0 million on its senior secured term loan, which were applied to the principal installments in direct order of maturity. These prepayments were made using cash on hand and without penalty or premium.</w:t>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In June 2026, the Company made voluntary prepayments of $50.0 million on its senior secured term loan, which were applied to the principal installments in direct order of maturity. These prepayments were made using cash on hand and without penalty or premium.</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we had no borrowings outstanding under the senior secured revolving credit facility.</w:t>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The agreements governing our senior secured revolving credit facility, our senior secured term loan, and the indentures and credit agreements governing our other debt, contain a number of customary financial and restrictive covenants that, among other things, limit our ability to: sell or otherwise transfer assets, including in a spin-off, incur additional debt or liens, consolidate or merge with any entity or transfer or sell all or substantially all of our assets, pay dividends or make certain other restricted payments, make investments, enter into transactions with affiliates, create dividend or other payment restrictions with respect to subsidiaries, make capital investments and alter the business we conduct. As of June 30, 2026, we were in compliance with all covenants.</w:t>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The estimated fair value of Avient’s debt instruments at June 30, 2026 and December 31, 2025 was $1,903.1 million and $1,967.1 million, respectively. The fair value of Avient’s debt instruments was estimated using prevailing market interest rates on debt with similar creditworthiness, terms and maturities and represent Level 2 measurements within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2100"/>
                <wp:effectExtent l="0" t="0" r="0" b="0"/>
                <wp:wrapNone/>
                <wp:docPr id="11" name="Frame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10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10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Arial;sans-serif" w:hAnsi="Arial;sans-serif"/>
          <w:b/>
          <w:color w:val="000000"/>
          <w:sz w:val="20"/>
        </w:rPr>
        <w:t>Note 8 — DERIVATIVES AND HEDGING</w:t>
      </w:r>
      <w:r>
        <w:rPr>
          <w:color w:val="000000"/>
        </w:rPr>
        <w:t xml:space="preserve"> </w:t>
      </w:r>
    </w:p>
    <w:p>
      <w:pPr>
        <w:pStyle w:val="TextBody"/>
        <w:bidi w:val="0"/>
        <w:spacing w:lineRule="auto" w:line="288" w:before="120" w:after="283"/>
        <w:jc w:val="both"/>
        <w:rPr/>
      </w:pPr>
      <w:r>
        <w:rPr>
          <w:rFonts w:ascii="Arial;sans-serif" w:hAnsi="Arial;sans-serif"/>
          <w:b w:val="false"/>
          <w:color w:val="000000"/>
          <w:sz w:val="20"/>
        </w:rPr>
        <w:t xml:space="preserve">We are exposed to market risks, such as changes in foreign currency exchange rates and interest rates. To manage the volatility related to these exposures we may enter into various derivative transactions. We formally assess, designate and document, as a hedge of an underlying exposure, the qualifying derivative instrument that will be accounted for as an accounting hedge at inception. Additionally, we assess both at inception and at least quarterly thereafter, whether the financial instruments used in the hedging transaction are effective at offsetting changes in either the fair values or cash flows of the underlying exposures. In accordance with ASU 2017-12, </w:t>
      </w:r>
      <w:r>
        <w:rPr>
          <w:rFonts w:ascii="Arial;sans-serif" w:hAnsi="Arial;sans-serif"/>
          <w:b w:val="false"/>
          <w:i/>
          <w:color w:val="000000"/>
          <w:sz w:val="20"/>
        </w:rPr>
        <w:t xml:space="preserve">Derivatives and Hedging (Topic 815): Targeted Improvements to Accounting for Hedging Activities </w:t>
      </w:r>
      <w:r>
        <w:rPr>
          <w:rFonts w:ascii="Arial;sans-serif" w:hAnsi="Arial;sans-serif"/>
          <w:b w:val="false"/>
          <w:color w:val="000000"/>
          <w:sz w:val="20"/>
        </w:rPr>
        <w:t xml:space="preserve">(ASU 2017-12), that ongoing assessment may be done qualitatively for highly effective relationships. </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Net Investment Hedge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a means of mitigating the impact of currency fluctuations on our Euro investments in foreign entities, we have executed cross-currency swaps, in which we pay fixed-rate interest in Euros and receive fixed-rate interest in U.S. dollars related to our future obligations to exchange Euros for U.S. dollars.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June 2026, the Company completed a transaction to effectively amend and extend existing cross-currency swaps with a notional amount of €700 million and maturity of November 2026. The liability position of the existing cross-currency swaps was blended into new cross-currency swap agreements maturing in June 2029. </w:t>
      </w:r>
    </w:p>
    <w:p>
      <w:pPr>
        <w:pStyle w:val="TextBody"/>
        <w:bidi w:val="0"/>
        <w:spacing w:lineRule="auto" w:line="288" w:before="120" w:after="283"/>
        <w:jc w:val="both"/>
        <w:rPr/>
      </w:pPr>
      <w:r>
        <w:rPr>
          <w:rFonts w:ascii="Arial;sans-serif" w:hAnsi="Arial;sans-serif"/>
          <w:b w:val="false"/>
          <w:color w:val="000000"/>
          <w:sz w:val="20"/>
        </w:rPr>
        <w:t>We designated the cross-currency swaps as net investment hedges of our net investment in our European operations under ASU 2017-12 and applied the spot method to these hedges. The changes in fair value of the derivative instruments that are designated and qualify as hedges of net investments in foreign operations are recognized within A</w:t>
      </w:r>
      <w:r>
        <w:rPr>
          <w:rFonts w:ascii="Arial;sans-serif" w:hAnsi="Arial;sans-serif"/>
          <w:b w:val="false"/>
          <w:i/>
          <w:color w:val="000000"/>
          <w:sz w:val="20"/>
        </w:rPr>
        <w:t xml:space="preserve">ccumulated Other Comprehensive Income (Loss) </w:t>
      </w:r>
      <w:r>
        <w:rPr>
          <w:rFonts w:ascii="Arial;sans-serif" w:hAnsi="Arial;sans-serif"/>
          <w:b w:val="false"/>
          <w:color w:val="000000"/>
          <w:sz w:val="20"/>
        </w:rPr>
        <w:t xml:space="preserve">(AOCI) to offset the changes in the values of the net investment being hedged. For the three and six months ended June 30, 2026, a loss of $4.4 million and a gain of $50.2 million were recognized within translation adjustments in AOCI, net of tax, respectively, compared to losses of $166.3 million and $210.6 million, net of tax, for the three and six months ended June 30, 2025. Included in </w:t>
      </w:r>
      <w:r>
        <w:rPr>
          <w:rFonts w:ascii="Arial;sans-serif" w:hAnsi="Arial;sans-serif"/>
          <w:b w:val="false"/>
          <w:i/>
          <w:color w:val="000000"/>
          <w:sz w:val="20"/>
        </w:rPr>
        <w:t>Interest expense, net</w:t>
      </w:r>
      <w:r>
        <w:rPr>
          <w:color w:val="000000"/>
        </w:rPr>
        <w:t xml:space="preserve"> </w:t>
      </w:r>
      <w:r>
        <w:rPr>
          <w:rFonts w:ascii="Arial;sans-serif" w:hAnsi="Arial;sans-serif"/>
          <w:b w:val="false"/>
          <w:color w:val="000000"/>
          <w:sz w:val="20"/>
        </w:rPr>
        <w:t xml:space="preserve">on the </w:t>
      </w:r>
      <w:r>
        <w:rPr>
          <w:rFonts w:ascii="Arial;sans-serif" w:hAnsi="Arial;sans-serif"/>
          <w:b w:val="false"/>
          <w:i/>
          <w:color w:val="000000"/>
          <w:sz w:val="20"/>
        </w:rPr>
        <w:t>Condensed Consolidated Statements of Income</w:t>
      </w:r>
      <w:r>
        <w:rPr>
          <w:color w:val="000000"/>
        </w:rPr>
        <w:t xml:space="preserve"> </w:t>
      </w:r>
      <w:r>
        <w:rPr>
          <w:rFonts w:ascii="Arial;sans-serif" w:hAnsi="Arial;sans-serif"/>
          <w:b w:val="false"/>
          <w:color w:val="000000"/>
          <w:sz w:val="20"/>
        </w:rPr>
        <w:t>is income of $9.0 million and $18.0 million, for the three and six months ended June 30, 2026 compared to income of $9.1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$18.1 million</w:t>
      </w:r>
      <w:r>
        <w:rPr>
          <w:rFonts w:ascii="Times New Roman;serif" w:hAnsi="Times New Roman;serif"/>
          <w:b w:val="false"/>
          <w:color w:val="000000"/>
          <w:sz w:val="20"/>
        </w:rPr>
        <w:t xml:space="preserve">, </w:t>
      </w:r>
      <w:r>
        <w:rPr>
          <w:rFonts w:ascii="Arial;sans-serif" w:hAnsi="Arial;sans-serif"/>
          <w:b w:val="false"/>
          <w:color w:val="000000"/>
          <w:sz w:val="20"/>
        </w:rPr>
        <w:t>respectively, for the three and six months ended June 30, 2025, related to interest payments received from counterparties.</w:t>
      </w:r>
    </w:p>
    <w:p>
      <w:pPr>
        <w:pStyle w:val="TextBody"/>
        <w:bidi w:val="0"/>
        <w:spacing w:lineRule="auto" w:line="288" w:before="120" w:after="283"/>
        <w:jc w:val="both"/>
        <w:rPr/>
      </w:pPr>
      <w:r>
        <w:rPr>
          <w:rFonts w:ascii="Arial;sans-serif" w:hAnsi="Arial;sans-serif"/>
          <w:b w:val="false"/>
          <w:color w:val="000000"/>
          <w:sz w:val="20"/>
        </w:rPr>
        <w:t xml:space="preserve">All of our derivative assets and liabilities measured at fair value are classified as Level 2 within the fair value hierarchy. We determine the fair value of our derivatives based on valuation methods, which project future cash flows and discount the future amounts present value using market based observable inputs, including interest rate curves and foreign currency rates. The fair value of derivative financial instruments recognized in the Condensed </w:t>
      </w:r>
      <w:r>
        <w:rPr>
          <w:rFonts w:ascii="Arial;sans-serif" w:hAnsi="Arial;sans-serif"/>
          <w:b w:val="false"/>
          <w:i/>
          <w:color w:val="000000"/>
          <w:sz w:val="20"/>
        </w:rPr>
        <w:t>Consolidated Balance Sheets</w:t>
      </w:r>
      <w:r>
        <w:rPr>
          <w:color w:val="000000"/>
        </w:rPr>
        <w:t xml:space="preserve"> </w:t>
      </w:r>
      <w:r>
        <w:rPr>
          <w:rFonts w:ascii="Arial;sans-serif" w:hAnsi="Arial;sans-serif"/>
          <w:b w:val="false"/>
          <w:color w:val="000000"/>
          <w:sz w:val="20"/>
        </w:rPr>
        <w:t>as of June 30, 2026 and December 31, 2025 is as follows:</w:t>
      </w:r>
    </w:p>
    <w:tbl>
      <w:tblPr>
        <w:tblW w:w="10205" w:type="dxa"/>
        <w:jc w:val="left"/>
        <w:tblInd w:w="0" w:type="dxa"/>
        <w:tblLayout w:type="fixed"/>
        <w:tblCellMar>
          <w:top w:w="28" w:type="dxa"/>
          <w:left w:w="28" w:type="dxa"/>
          <w:bottom w:w="28" w:type="dxa"/>
          <w:right w:w="28" w:type="dxa"/>
        </w:tblCellMar>
      </w:tblPr>
      <w:tblGrid>
        <w:gridCol w:w="578"/>
        <w:gridCol w:w="508"/>
        <w:gridCol w:w="512"/>
        <w:gridCol w:w="262"/>
        <w:gridCol w:w="888"/>
        <w:gridCol w:w="126"/>
        <w:gridCol w:w="109"/>
        <w:gridCol w:w="109"/>
        <w:gridCol w:w="109"/>
        <w:gridCol w:w="350"/>
        <w:gridCol w:w="675"/>
        <w:gridCol w:w="183"/>
        <w:gridCol w:w="109"/>
        <w:gridCol w:w="109"/>
        <w:gridCol w:w="109"/>
        <w:gridCol w:w="459"/>
        <w:gridCol w:w="885"/>
        <w:gridCol w:w="239"/>
        <w:gridCol w:w="109"/>
        <w:gridCol w:w="109"/>
        <w:gridCol w:w="109"/>
        <w:gridCol w:w="341"/>
        <w:gridCol w:w="828"/>
        <w:gridCol w:w="177"/>
        <w:gridCol w:w="109"/>
        <w:gridCol w:w="109"/>
        <w:gridCol w:w="109"/>
        <w:gridCol w:w="403"/>
        <w:gridCol w:w="1177"/>
        <w:gridCol w:w="306"/>
      </w:tblGrid>
      <w:tr>
        <w:trPr/>
        <w:tc>
          <w:tcPr>
            <w:tcW w:w="57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86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 non-current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firstLine="180"/>
              <w:jc w:val="center"/>
              <w:rPr>
                <w:rFonts w:ascii="Arial;sans-serif" w:hAnsi="Arial;sans-serif"/>
                <w:b/>
                <w:color w:val="000000"/>
                <w:sz w:val="18"/>
              </w:rPr>
            </w:pPr>
            <w:r>
              <w:rPr>
                <w:rFonts w:ascii="Arial;sans-serif" w:hAnsi="Arial;sans-serif"/>
                <w:b/>
                <w:color w:val="000000"/>
                <w:sz w:val="18"/>
              </w:rPr>
              <w:t>Other non-current liabilities</w:t>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2,575.4 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315.8 </w:t>
            </w:r>
          </w:p>
        </w:tc>
        <w:tc>
          <w:tcPr>
            <w:tcW w:w="3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color w:val="000000"/>
                <w:sz w:val="16"/>
              </w:rPr>
            </w:pPr>
            <w:r>
              <w:rPr>
                <w:rFonts w:ascii="Arial;sans-serif" w:hAnsi="Arial;sans-serif"/>
                <w:b/>
                <w:color w:val="000000"/>
                <w:sz w:val="16"/>
              </w:rPr>
              <w:t>(In millions)</w:t>
            </w:r>
          </w:p>
        </w:tc>
        <w:tc>
          <w:tcPr>
            <w:tcW w:w="860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Arial;sans-serif" w:hAnsi="Arial;sans-serif"/>
                <w:b/>
                <w:color w:val="000000"/>
                <w:sz w:val="18"/>
              </w:rPr>
            </w:pPr>
            <w:r>
              <w:rPr>
                <w:rFonts w:ascii="Arial;sans-serif" w:hAnsi="Arial;sans-serif"/>
                <w:b/>
                <w:color w:val="000000"/>
                <w:sz w:val="18"/>
              </w:rPr>
              <w:t>As of December 31, 2025</w:t>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286.1 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2100"/>
                <wp:effectExtent l="0" t="0" r="0" b="0"/>
                <wp:wrapNone/>
                <wp:docPr id="12" name="Frame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11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11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9 — SEGMENT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Avient has two reportable segments: (1) Color, Additives and Inks and (2) Specialty Engineered Materials.</w:t>
      </w:r>
    </w:p>
    <w:p>
      <w:pPr>
        <w:pStyle w:val="TextBody"/>
        <w:bidi w:val="0"/>
        <w:spacing w:lineRule="auto" w:line="288" w:before="120" w:after="283"/>
        <w:jc w:val="both"/>
        <w:rPr/>
      </w:pPr>
      <w:r>
        <w:rPr>
          <w:rFonts w:ascii="Arial;sans-serif" w:hAnsi="Arial;sans-serif"/>
          <w:b w:val="false"/>
          <w:color w:val="000000"/>
          <w:sz w:val="20"/>
        </w:rPr>
        <w:t xml:space="preserve">Operating income is the primary segment performance measure that is reported to our chief operating decision maker (CODM), which is the Company's chief executive officer. Our CODM utilizes this measure as an input to determine appropriate resource allocations to our segments in the annual planning process and to periodically assess segment performance, primarily by evaluating actual results in comparison to the annual operating plan and forecast. Operating income at the segment level does not include corporate general and administrative expenses that are not allocated to segments, restructuring charges, share-based compensation costs, environmental remediation costs and associated recoveries, asset impairments, acquisition-related charges, mark-to-market adjustments on pension and other post-retirement obligations, and certain other items that are not included in the measure of segment profit or loss that is reported to and reviewed by our CODM. These costs are included in </w:t>
      </w:r>
      <w:r>
        <w:rPr>
          <w:rFonts w:ascii="Arial;sans-serif" w:hAnsi="Arial;sans-serif"/>
          <w:b w:val="false"/>
          <w:i/>
          <w:color w:val="000000"/>
          <w:sz w:val="20"/>
        </w:rPr>
        <w:t>Corporate</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Financial information by reportable segment is as follows:</w:t>
      </w:r>
    </w:p>
    <w:tbl>
      <w:tblPr>
        <w:tblW w:w="10205" w:type="dxa"/>
        <w:jc w:val="left"/>
        <w:tblInd w:w="0" w:type="dxa"/>
        <w:tblLayout w:type="fixed"/>
        <w:tblCellMar>
          <w:top w:w="28" w:type="dxa"/>
          <w:left w:w="28" w:type="dxa"/>
          <w:bottom w:w="28" w:type="dxa"/>
          <w:right w:w="28" w:type="dxa"/>
        </w:tblCellMar>
      </w:tblPr>
      <w:tblGrid>
        <w:gridCol w:w="987"/>
        <w:gridCol w:w="728"/>
        <w:gridCol w:w="731"/>
        <w:gridCol w:w="109"/>
        <w:gridCol w:w="109"/>
        <w:gridCol w:w="109"/>
        <w:gridCol w:w="109"/>
        <w:gridCol w:w="391"/>
        <w:gridCol w:w="1143"/>
        <w:gridCol w:w="201"/>
        <w:gridCol w:w="109"/>
        <w:gridCol w:w="109"/>
        <w:gridCol w:w="109"/>
        <w:gridCol w:w="460"/>
        <w:gridCol w:w="1347"/>
        <w:gridCol w:w="239"/>
        <w:gridCol w:w="109"/>
        <w:gridCol w:w="109"/>
        <w:gridCol w:w="109"/>
        <w:gridCol w:w="211"/>
        <w:gridCol w:w="584"/>
        <w:gridCol w:w="109"/>
        <w:gridCol w:w="109"/>
        <w:gridCol w:w="109"/>
        <w:gridCol w:w="109"/>
        <w:gridCol w:w="263"/>
        <w:gridCol w:w="770"/>
        <w:gridCol w:w="138"/>
        <w:gridCol w:w="109"/>
        <w:gridCol w:w="109"/>
        <w:gridCol w:w="109"/>
        <w:gridCol w:w="159"/>
      </w:tblGrid>
      <w:tr>
        <w:trPr/>
        <w:tc>
          <w:tcPr>
            <w:tcW w:w="98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millions)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Color, Additives and Inks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Specialty Engineered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b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987"/>
        <w:gridCol w:w="728"/>
        <w:gridCol w:w="731"/>
        <w:gridCol w:w="109"/>
        <w:gridCol w:w="109"/>
        <w:gridCol w:w="109"/>
        <w:gridCol w:w="109"/>
        <w:gridCol w:w="391"/>
        <w:gridCol w:w="1143"/>
        <w:gridCol w:w="201"/>
        <w:gridCol w:w="109"/>
        <w:gridCol w:w="109"/>
        <w:gridCol w:w="109"/>
        <w:gridCol w:w="460"/>
        <w:gridCol w:w="1347"/>
        <w:gridCol w:w="239"/>
        <w:gridCol w:w="109"/>
        <w:gridCol w:w="109"/>
        <w:gridCol w:w="109"/>
        <w:gridCol w:w="211"/>
        <w:gridCol w:w="584"/>
        <w:gridCol w:w="109"/>
        <w:gridCol w:w="109"/>
        <w:gridCol w:w="109"/>
        <w:gridCol w:w="109"/>
        <w:gridCol w:w="263"/>
        <w:gridCol w:w="770"/>
        <w:gridCol w:w="138"/>
        <w:gridCol w:w="109"/>
        <w:gridCol w:w="109"/>
        <w:gridCol w:w="109"/>
        <w:gridCol w:w="159"/>
      </w:tblGrid>
      <w:tr>
        <w:trPr/>
        <w:tc>
          <w:tcPr>
            <w:tcW w:w="98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millions)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Color, Additives and Inks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Specialty Engineered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b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329.7 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984"/>
        <w:gridCol w:w="720"/>
        <w:gridCol w:w="723"/>
        <w:gridCol w:w="109"/>
        <w:gridCol w:w="109"/>
        <w:gridCol w:w="109"/>
        <w:gridCol w:w="109"/>
        <w:gridCol w:w="344"/>
        <w:gridCol w:w="1250"/>
        <w:gridCol w:w="177"/>
        <w:gridCol w:w="109"/>
        <w:gridCol w:w="109"/>
        <w:gridCol w:w="109"/>
        <w:gridCol w:w="456"/>
        <w:gridCol w:w="1336"/>
        <w:gridCol w:w="237"/>
        <w:gridCol w:w="109"/>
        <w:gridCol w:w="109"/>
        <w:gridCol w:w="109"/>
        <w:gridCol w:w="211"/>
        <w:gridCol w:w="584"/>
        <w:gridCol w:w="109"/>
        <w:gridCol w:w="109"/>
        <w:gridCol w:w="109"/>
        <w:gridCol w:w="109"/>
        <w:gridCol w:w="227"/>
        <w:gridCol w:w="825"/>
        <w:gridCol w:w="119"/>
        <w:gridCol w:w="109"/>
        <w:gridCol w:w="109"/>
        <w:gridCol w:w="109"/>
        <w:gridCol w:w="159"/>
      </w:tblGrid>
      <w:tr>
        <w:trPr/>
        <w:tc>
          <w:tcPr>
            <w:tcW w:w="98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millions)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Color, Additives and Inks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Specialty Engineered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b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664.1 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2100"/>
                <wp:effectExtent l="0" t="0" r="0" b="0"/>
                <wp:wrapNone/>
                <wp:docPr id="13" name="Frame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12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12 AVIENT CORPORATION</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8"/>
        <w:gridCol w:w="706"/>
        <w:gridCol w:w="708"/>
        <w:gridCol w:w="109"/>
        <w:gridCol w:w="109"/>
        <w:gridCol w:w="109"/>
        <w:gridCol w:w="109"/>
        <w:gridCol w:w="340"/>
        <w:gridCol w:w="1235"/>
        <w:gridCol w:w="175"/>
        <w:gridCol w:w="109"/>
        <w:gridCol w:w="109"/>
        <w:gridCol w:w="109"/>
        <w:gridCol w:w="449"/>
        <w:gridCol w:w="1316"/>
        <w:gridCol w:w="234"/>
        <w:gridCol w:w="109"/>
        <w:gridCol w:w="109"/>
        <w:gridCol w:w="109"/>
        <w:gridCol w:w="211"/>
        <w:gridCol w:w="670"/>
        <w:gridCol w:w="109"/>
        <w:gridCol w:w="109"/>
        <w:gridCol w:w="109"/>
        <w:gridCol w:w="109"/>
        <w:gridCol w:w="227"/>
        <w:gridCol w:w="825"/>
        <w:gridCol w:w="119"/>
        <w:gridCol w:w="109"/>
        <w:gridCol w:w="109"/>
        <w:gridCol w:w="109"/>
        <w:gridCol w:w="159"/>
      </w:tblGrid>
      <w:tr>
        <w:trPr/>
        <w:tc>
          <w:tcPr>
            <w:tcW w:w="97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millions)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Color, Additives and Inks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Specialty Engineered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b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638.1 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7094" w:type="dxa"/>
        <w:jc w:val="left"/>
        <w:tblInd w:w="0" w:type="dxa"/>
        <w:tblLayout w:type="fixed"/>
        <w:tblCellMar>
          <w:top w:w="28" w:type="dxa"/>
          <w:left w:w="28" w:type="dxa"/>
          <w:bottom w:w="28" w:type="dxa"/>
          <w:right w:w="28" w:type="dxa"/>
        </w:tblCellMar>
      </w:tblPr>
      <w:tblGrid>
        <w:gridCol w:w="993"/>
        <w:gridCol w:w="873"/>
        <w:gridCol w:w="878"/>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Depreciation and amortization:</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Engineered Materials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expenditures: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Engineered Materials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91" w:type="dxa"/>
        <w:jc w:val="left"/>
        <w:tblInd w:w="0" w:type="dxa"/>
        <w:tblLayout w:type="fixed"/>
        <w:tblCellMar>
          <w:top w:w="28" w:type="dxa"/>
          <w:left w:w="28" w:type="dxa"/>
          <w:bottom w:w="28" w:type="dxa"/>
          <w:right w:w="28" w:type="dxa"/>
        </w:tblCellMar>
      </w:tblPr>
      <w:tblGrid>
        <w:gridCol w:w="967"/>
        <w:gridCol w:w="850"/>
        <w:gridCol w:w="852"/>
        <w:gridCol w:w="347"/>
        <w:gridCol w:w="1259"/>
        <w:gridCol w:w="179"/>
        <w:gridCol w:w="109"/>
        <w:gridCol w:w="109"/>
        <w:gridCol w:w="109"/>
        <w:gridCol w:w="431"/>
        <w:gridCol w:w="1565"/>
        <w:gridCol w:w="31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Assets</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 Additives and Inks</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2,679.5 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2,602.4 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Engineered Materials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2,578.0 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845.2 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6,004.8 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6,025.6 </w:t>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10 — COMMITMENTS AND CONTINGENCIES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have been notified by federal and state environmental agencies and by private parties that we may be a potentially responsible party (PRP) in connection with the environmental investigation and remediation of certain sites. While government agencies frequently assert that PRPs are jointly and severally liable at these sites, in our experience, the interim and final allocations of liability costs are generally made based on the relative contribution of waste. We may also initiate corrective and preventive environmental projects of our own to support safe and lawful activities at our operations.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September 2007, the United States District Court for the Western District of Kentucky (Court) in the case of Westlake Vinyls, Inc. v. Goodrich Corporation, et al., held that Avient must pay the remediation costs at the former Goodrich Corporation Calvert City facility (now largely owned and operated by Westlake Vinyls, Inc. (Westlake Vinyls)), together with certain defense costs of Goodrich Corporation. The rulings also provided that Avient can seek indemnification for contamination attributable to Westlake Vinyls. Following the rulings, the parties to the litigation agreed to settle all claims regarding past environmental costs incurred at the site. The settlement agreement provides a mechanism to pursue allocation of future remediation costs at the Calvert City site to Westlake Vinyls.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environmental obligation at the site arose as a result of an agreement between The B.F. Goodrich Company (n/k/a Goodrich Corporation) and our predecessor, The Geon Company (Geon), at the time of Geon’s initial public offering in 1993. Under the agreement, Geon agreed to indemnify Goodrich Corporation for certain environmental costs at the site. Neither Avient nor Geon ever operated the facility.</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2100"/>
                <wp:effectExtent l="0" t="0" r="0" b="0"/>
                <wp:wrapNone/>
                <wp:docPr id="14" name="Frame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13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13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Since 2009, Avient, along with respondents Westlake Vinyls and Goodrich Corporation, has worked with the United States Environmental Protection Agency (USEPA) to address the remedial activities at the site. The USEPA issued its Record of Decision (ROD) in September 2018. In April 2019, the respondents signed an Administrative Settlement Agreement and Order on Consent with the USEPA to complete remedial designs for the site. In February 2020, three companies signed the agreed Consent Decree and remedial action Work Plan to conduct the remedial action at the site, which received Federal Court approval in January 2021.</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2024, the Company finalized the design for the first phase of a barrier wall and construction of this phase was completed in 2025. In 2025, the Company recognized charges of $21.3 million associated with incremental investigation and remedial design work deemed necessary based on results of ongoing findings at the site. This incremental work resulted in a two-year extension of the planned remedial action timeline, which also contributed to the charges. The remaining wall designs and construction are expected to be completed in phases and, depending on the outcome of additional investigations and finalization of remedial designs, may extend beyond 2030.</w:t>
      </w:r>
    </w:p>
    <w:p>
      <w:pPr>
        <w:pStyle w:val="TextBody"/>
        <w:bidi w:val="0"/>
        <w:spacing w:lineRule="auto" w:line="288" w:before="120" w:after="283"/>
        <w:jc w:val="both"/>
        <w:rPr/>
      </w:pPr>
      <w:r>
        <w:rPr>
          <w:rFonts w:ascii="Arial;sans-serif" w:hAnsi="Arial;sans-serif"/>
          <w:b w:val="false"/>
          <w:color w:val="000000"/>
          <w:sz w:val="20"/>
        </w:rPr>
        <w:t>As remedial design and supporting analyses have advanced in 2026, Avient has identified the need for certain modifications to the initially contemplated remedy. In addition, the USEPA has issued a modification to the ROD that lowers certain tolerance thresholds of clean up criterion at the site and has also requested evaluations of additional design criteria that may materially affect design requirements and construction costs. As a result, further design efforts are required, including updated analyses of construction approaches and methodologies. Certain design criteria currently under evaluation may ultimately not be incorporated into the final remedy.</w:t>
      </w:r>
      <w:r>
        <w:rPr>
          <w:color w:val="000000"/>
        </w:rPr>
        <w:t xml:space="preserve"> </w:t>
      </w:r>
      <w:r>
        <w:rPr>
          <w:rFonts w:ascii="Arial;sans-serif" w:hAnsi="Arial;sans-serif"/>
          <w:b w:val="false"/>
          <w:color w:val="000000"/>
          <w:sz w:val="20"/>
        </w:rPr>
        <w:t>Given the ongoing analyses and associated design evaluations, the impact of the lowered tolerance threshold of clean up criterion and potential additional modifications under evaluation cannot yet be reasonably estimated. As remedial design progresses, including refinement of the overall implementation schedule and required remedy modifications, Avient will update its environmental reserve as appropriate.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accrual associated with Calvert City was $123.1 million as of June 30, 2026 and $133.2 million as of December 31, 2025. Total environmental accruals of $132.3 million and $141.2 million are reflected within Accrued expenses and other current liabilities and Other non-current liabilities in our Condensed Consolidated Balance Sheets as of June 30, 2026 and December 31, 2025, respectively. These undiscounted accruals represent our best estimate of probable future costs that we can reasonably estimate, based upon currently available information and technology and how the remedy will be implemented. Previous adjustments to the Calvert City environmental accrual have had a material impact on our Condensed Consolidated Statements of Income in the periods recognized. Due to the scale and complexity of the remedial actions required at Calvert City, it is probable that additional costs will be incurred in excess of the amounts accrued, which would have a material impact on our Condensed Consolidated Statements of Income, in the period recognized. However, such additional costs cannot currently be estimated as they are dependent upon the results of future testing and findings during the execution of remedial design and remedial action, changes to the construction timeline, changes in regulations, technology development, new information, newly discovered conditions and other factors that are not currently known.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and six months ended June 30, 2026, Avient recognized costs of $4.7 million and $8.6 million, primarily associated with the ongoing remedial design and remedial action at Calvert City, compared to costs of $1.8 million and $6.7 million recognized during the three and six months ended June 30, 2025. These costs are recognized in Cost of Sales within the Condensed Consolidated Statements of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received $34.0 million of cash associated with Calvert City insurance recoveries in the first quarter of 2025. The associated gain was recognized in the fourth quarter of 2024. Further insurance recoveries, if any, related to remedial activities at the Calvert City site are expected to be immaterial.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Avient is subject to a broad range of claims, administrative and legal proceedings such as lawsuits that relate to contractual allegations, tax audits, product claims, personal injuries and employment related matters. Although it is not possible to predict with certainty the outcome or cost of these matters, the Company believes our current reserves are appropriate and these matters will not have a material adverse effect on the condensed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2100"/>
                <wp:effectExtent l="0" t="0" r="0" b="0"/>
                <wp:wrapNone/>
                <wp:docPr id="15" name="Frame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14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14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color w:val="000000"/>
          <w:sz w:val="20"/>
          <w:u w:val="single"/>
        </w:rPr>
        <w:t>ITEM 2.</w:t>
      </w:r>
      <w:r>
        <w:rPr>
          <w:color w:val="000000"/>
        </w:rPr>
        <w:t xml:space="preserve"> </w:t>
      </w:r>
      <w:r>
        <w:rPr>
          <w:rFonts w:ascii="Arial;sans-serif" w:hAnsi="Arial;sans-serif"/>
          <w:b/>
          <w:color w:val="000000"/>
          <w:sz w:val="20"/>
          <w:u w:val="single"/>
        </w:rPr>
        <w:t>MANAGEMENT’S DISCUSSION AND ANALYSIS OF FINANCIAL CONDITION AND RESULTS OF OPERATIONS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an innovator of materials solutions to help our customers succeed, while enabling a sustainable world. Our products include specialty engineered materials, performance fibers, advanced composites, and color and additive solutions. We are also a highly specialized developer and manufacturer of performance enhancing additives, liquid colorants and silicone colorants. Headquartered in Avon Lake, Ohio, we have manufacturing sites, research and development facilities, design centers and warehouses around the globe. We provide value to our customers through our ability to link our knowledge of polymers and materials science with our manufacturing and supply chain capabilities to provide value-added solutions to designers, assemblers and processors of materials. When used in this Quarterly Report on Form 10-Q, the terms “we,” “us,” “our,” “Avient” and the “Company” mean Avient Corporation and its consolidated subsidiaries.</w:t>
      </w:r>
    </w:p>
    <w:p>
      <w:pPr>
        <w:pStyle w:val="TextBody"/>
        <w:bidi w:val="0"/>
        <w:spacing w:lineRule="auto" w:line="288" w:before="120" w:after="283"/>
        <w:jc w:val="both"/>
        <w:rPr/>
      </w:pPr>
      <w:r>
        <w:rPr>
          <w:rFonts w:ascii="Arial;sans-serif" w:hAnsi="Arial;sans-serif"/>
          <w:b/>
          <w:color w:val="000000"/>
          <w:sz w:val="20"/>
        </w:rPr>
        <w:t>Results of Operations —</w:t>
      </w:r>
      <w:r>
        <w:rPr>
          <w:color w:val="000000"/>
        </w:rPr>
        <w:t xml:space="preserve"> </w:t>
      </w:r>
      <w:r>
        <w:rPr>
          <w:rFonts w:ascii="Arial;sans-serif" w:hAnsi="Arial;sans-serif"/>
          <w:b w:val="false"/>
          <w:i/>
          <w:color w:val="000000"/>
          <w:sz w:val="20"/>
        </w:rPr>
        <w:t>The three and six months ended June 30, 2026 compared to the three and six months ended June 30, 2025:</w:t>
      </w:r>
    </w:p>
    <w:tbl>
      <w:tblPr>
        <w:tblW w:w="10560" w:type="dxa"/>
        <w:jc w:val="left"/>
        <w:tblInd w:w="0" w:type="dxa"/>
        <w:tblLayout w:type="fixed"/>
        <w:tblCellMar>
          <w:top w:w="28" w:type="dxa"/>
          <w:left w:w="28" w:type="dxa"/>
          <w:bottom w:w="28" w:type="dxa"/>
          <w:right w:w="28" w:type="dxa"/>
        </w:tblCellMar>
      </w:tblPr>
      <w:tblGrid>
        <w:gridCol w:w="618"/>
        <w:gridCol w:w="253"/>
        <w:gridCol w:w="255"/>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85"/>
        <w:gridCol w:w="286"/>
        <w:gridCol w:w="301"/>
        <w:gridCol w:w="109"/>
        <w:gridCol w:w="109"/>
        <w:gridCol w:w="109"/>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283"/>
        <w:gridCol w:w="288"/>
        <w:gridCol w:w="446"/>
      </w:tblGrid>
      <w:tr>
        <w:trPr/>
        <w:tc>
          <w:tcPr>
            <w:tcW w:w="6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Variances — 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Variances — </w:t>
              <w:br/>
              <w:t>Favorable (Unfavorable)</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 except per share data)</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and administrative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264.3 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(272.9)</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261.6 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Avient common shareholders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Sales</w:t>
      </w:r>
    </w:p>
    <w:p>
      <w:pPr>
        <w:pStyle w:val="TextBody"/>
        <w:bidi w:val="0"/>
        <w:spacing w:lineRule="auto" w:line="288" w:before="120" w:after="283"/>
        <w:jc w:val="both"/>
        <w:rPr/>
      </w:pPr>
      <w:r>
        <w:rPr>
          <w:rFonts w:ascii="Arial;sans-serif" w:hAnsi="Arial;sans-serif"/>
          <w:b w:val="false"/>
          <w:color w:val="000000"/>
          <w:sz w:val="20"/>
        </w:rPr>
        <w:t>Sales increased $50.5 million</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or 5.8%, for the three months ended June 30, 2026 compared to the three months ended June 30, 2025. Favorable foreign currency impacts were 1.5%, while sales, excluding the impacts of foreign exchange, increased 4.3%. Sales increases within the packaging, building &amp; construction, consumer and defense end markets more than offset declines in the healthcare and transportation end markets.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Sales increased $71.3 million, or 4.2%, for the six months ended June 30, 2026 compared to the six months ended June 30, 2025. Favorable foreign currency impacts were 3.0%, while sales, excluding the impacts of foreign exchange, increased 1.2%. Sales increases within the packaging and building &amp; construction end markets more than offset declines in the transportation and healthcare end markets.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Gross Margin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Gross margin as a percentage of sales was 33.5% for the three months ended June 30, 2026 compared to 32.1% for the three months ended June 30, 2025. The increase was primarily driven by higher sales and the benefit of cost savings from productivity and restructuring actions. Further, 2025 included approximately $3.0 million of incremental planned maintenance costs within the SEM segment.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Gross margin as a percentage of sales was 32.9% for the six months ended June 30, 2026 compared to 32.0% for the six months ended June 30, 2025. The increase was primarily driven by higher sales and the benefit of cost savings from productivity and restructuring actions. Further, 2025 included approximately $3.0 million of incremental planned maintenance costs within the SEM segment.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2100"/>
                <wp:effectExtent l="0" t="0" r="0" b="0"/>
                <wp:wrapNone/>
                <wp:docPr id="16" name="Frame1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15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15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Selling and administrative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Selling and administrative expense increased $13.4 million for the three months ended June 30, 2026, primarily driven by higher employee costs partially offset by the benefit of productivity initiatives.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Selling and administrative expense decreased $72.3 million for the six months ended June 30, 2026, primarily driven by the Company's decision to cease development of the cloud-based enterprise resource planning system, S/4HANA, in 2025, which resulted in an impairment charge of $71.6 million and additional charges of $14.7 million for unpaid contractual obligations for hosting fees, which more than offset higher employer costs.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Interest expense, net decreased $2.4 million and $7.3 million for the three and six months ended June 30, 2026, respectively, primarily driven by the benefit of reduced interest rates resulting from refinancing activity during 2025, in addition to prepayments on Avient's senior secured term loan totaling $150.0 million during 2025.</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During the three months ended June 30, 2026, the Company’s effective tax rate was 26.3% compared to 24.5% in the three months ended June 30, 2025, while the six month period ended June 30, 2026 was 24.7% compared to 24.2% for the six month period ended June 30, 2025. The higher effective tax rate in 2026 is primarily driven by an increase in withholding taxes and higher unfavorable U.S. permanent items. </w:t>
      </w:r>
    </w:p>
    <w:p>
      <w:pPr>
        <w:pStyle w:val="TextBody"/>
        <w:bidi w:val="0"/>
        <w:spacing w:lineRule="auto" w:line="288" w:before="120" w:after="283"/>
        <w:jc w:val="both"/>
        <w:rPr/>
      </w:pPr>
      <w:r>
        <w:rPr>
          <w:rFonts w:ascii="Arial;sans-serif" w:hAnsi="Arial;sans-serif"/>
          <w:b w:val="false"/>
          <w:color w:val="000000"/>
          <w:sz w:val="20"/>
        </w:rPr>
        <w:t xml:space="preserve">Refer to Note 6, </w:t>
      </w:r>
      <w:r>
        <w:rPr>
          <w:rFonts w:ascii="Arial;sans-serif" w:hAnsi="Arial;sans-serif"/>
          <w:b w:val="false"/>
          <w:i/>
          <w:color w:val="000000"/>
          <w:sz w:val="20"/>
        </w:rPr>
        <w:t>Income Taxes</w:t>
      </w:r>
      <w:r>
        <w:rPr>
          <w:rFonts w:ascii="Arial;sans-serif" w:hAnsi="Arial;sans-serif"/>
          <w:b w:val="false"/>
          <w:color w:val="000000"/>
          <w:sz w:val="20"/>
        </w:rPr>
        <w:t>, for further details.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SEGMENT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Avient has two reportable segments: (1) Color, Additives and Inks; and (2) Specialty Engineered Materials.</w:t>
      </w:r>
    </w:p>
    <w:p>
      <w:pPr>
        <w:pStyle w:val="TextBody"/>
        <w:bidi w:val="0"/>
        <w:spacing w:lineRule="auto" w:line="288" w:before="120" w:after="283"/>
        <w:jc w:val="both"/>
        <w:rPr/>
      </w:pPr>
      <w:r>
        <w:rPr>
          <w:rFonts w:ascii="Arial;sans-serif" w:hAnsi="Arial;sans-serif"/>
          <w:b w:val="false"/>
          <w:color w:val="000000"/>
          <w:sz w:val="20"/>
        </w:rPr>
        <w:t xml:space="preserve">Operating income is the primary segment performance measure that is reported to our chief operating decision maker (CODM), which is the Company's chief executive officer. Our CODM utilizes this measure as an input to determine appropriate resource allocations to our segments in the annual planning process and to periodically assess segment performance, primarily by evaluating actual results in comparison to the annual operating plan and forecast. Operating income at the segment level does not include corporate general and administrative expenses that are not allocated to segments, restructuring charges, share-based compensation costs, environmental remediation costs and associated recoveries, asset impairments, acquisition-related charges, mark-to-market adjustments on pension and other post-retirement obligations, and certain other items that are not included in the measure of segment profit or loss that is reported to and reviewed by our CODM. These costs are included in </w:t>
      </w:r>
      <w:r>
        <w:rPr>
          <w:rFonts w:ascii="Arial;sans-serif" w:hAnsi="Arial;sans-serif"/>
          <w:b w:val="false"/>
          <w:i/>
          <w:color w:val="000000"/>
          <w:sz w:val="20"/>
        </w:rPr>
        <w:t>Corporate</w:t>
      </w:r>
      <w:r>
        <w:rPr>
          <w:rFonts w:ascii="Arial;sans-serif" w:hAnsi="Arial;sans-serif"/>
          <w:b w:val="false"/>
          <w:color w:val="000000"/>
          <w:sz w:val="20"/>
        </w:rPr>
        <w:t>.</w:t>
      </w:r>
    </w:p>
    <w:p>
      <w:pPr>
        <w:pStyle w:val="TextBody"/>
        <w:bidi w:val="0"/>
        <w:spacing w:lineRule="auto" w:line="288" w:before="120" w:after="283"/>
        <w:jc w:val="both"/>
        <w:rPr/>
      </w:pPr>
      <w:r>
        <w:rPr>
          <w:rFonts w:ascii="Arial;sans-serif" w:hAnsi="Arial;sans-serif"/>
          <w:b/>
          <w:color w:val="000000"/>
          <w:sz w:val="20"/>
        </w:rPr>
        <w:t xml:space="preserve">Sales and Operating Income — </w:t>
      </w:r>
      <w:r>
        <w:rPr>
          <w:rFonts w:ascii="Arial;sans-serif" w:hAnsi="Arial;sans-serif"/>
          <w:b w:val="false"/>
          <w:i/>
          <w:color w:val="000000"/>
          <w:sz w:val="20"/>
        </w:rPr>
        <w:t>The three and six months ended June 30, 2026 compared to the three and six months ended June 30, 2025</w:t>
      </w:r>
      <w:r>
        <w:rPr>
          <w:rFonts w:ascii="Times New Roman;serif" w:hAnsi="Times New Roman;serif"/>
          <w:b w:val="false"/>
          <w:color w:val="000000"/>
          <w:sz w:val="18"/>
        </w:rPr>
        <w:t>: </w:t>
      </w:r>
    </w:p>
    <w:tbl>
      <w:tblPr>
        <w:tblW w:w="10205" w:type="dxa"/>
        <w:jc w:val="left"/>
        <w:tblInd w:w="0" w:type="dxa"/>
        <w:tblLayout w:type="fixed"/>
        <w:tblCellMar>
          <w:top w:w="28" w:type="dxa"/>
          <w:left w:w="28" w:type="dxa"/>
          <w:bottom w:w="28" w:type="dxa"/>
          <w:right w:w="28" w:type="dxa"/>
        </w:tblCellMar>
      </w:tblPr>
      <w:tblGrid>
        <w:gridCol w:w="472"/>
        <w:gridCol w:w="245"/>
        <w:gridCol w:w="246"/>
        <w:gridCol w:w="196"/>
        <w:gridCol w:w="556"/>
        <w:gridCol w:w="109"/>
        <w:gridCol w:w="109"/>
        <w:gridCol w:w="109"/>
        <w:gridCol w:w="109"/>
        <w:gridCol w:w="196"/>
        <w:gridCol w:w="556"/>
        <w:gridCol w:w="109"/>
        <w:gridCol w:w="109"/>
        <w:gridCol w:w="109"/>
        <w:gridCol w:w="109"/>
        <w:gridCol w:w="196"/>
        <w:gridCol w:w="467"/>
        <w:gridCol w:w="109"/>
        <w:gridCol w:w="109"/>
        <w:gridCol w:w="109"/>
        <w:gridCol w:w="109"/>
        <w:gridCol w:w="272"/>
        <w:gridCol w:w="209"/>
        <w:gridCol w:w="258"/>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310"/>
        <w:gridCol w:w="246"/>
        <w:gridCol w:w="311"/>
      </w:tblGrid>
      <w:tr>
        <w:trPr/>
        <w:tc>
          <w:tcPr>
            <w:tcW w:w="4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Variances — Favorable</w:t>
              <w:b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Variances — Favorable</w:t>
              <w:br/>
              <w:t>(Unfavorable)</w:t>
            </w:r>
          </w:p>
        </w:tc>
      </w:tr>
      <w:tr>
        <w:trPr/>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 Additives and Inks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Specialty Engineered Materials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 Additives and Inks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Specialty Engineered Materials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2100"/>
                <wp:effectExtent l="0" t="0" r="0" b="0"/>
                <wp:wrapNone/>
                <wp:docPr id="17" name="Frame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16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16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Color, Additives and Inks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Sales increased $35.6 million, or 6.6%, in the three months ended June 30, 2026 compared to the three months ended June 30, 2025. Favorable foreign currency impacts were 1.6%, while sales, excluding the impacts of foreign exchange, increased 5.0%. The sales increase was primarily within the packaging, building &amp; construction and industrial end markets, partially offset by a sales decrease in the healthcare end market.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Sales increased $44.0 million, or 4.2%, in the six months ended June 30, 2026 compared to the six months ended June 30, 2025. Favorable foreign currency impacts were 3.3%, while sales, excluding the impacts of foreign exchange, increased 0.9%. The sales increase was primarily within the packaging end market, partially offset by a sales decrease in the transportation and consumer end markets.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Operating income increased $11.5 million for the three months ended June 30, 2026 compared to the three months ended June 30, 2025. The increase was primarily driven by higher sales while the benefit of cost savings from productivity and restructuring actions largely offset higher employee costs.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Operating income increased $14.3 million for the six months ended June 30, 2026 compared to the six months ended June 30, 2025. The increase was primarily driven by higher sales while the benefit of cost savings from productivity and restructuring actions largely offset higher employee costs. </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Specialty Engineered Materials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Sales increased $14.2 million, or 4.3%, in the three months ended June 30, 2026 compared to the three months ended June 30, 2025. Favorable foreign currency impacts were 1.0%, while sales, excluding the impacts of foreign exchange, increased 3.3%. The sales increase was primarily within the packaging, consumer, building &amp; construction and defense end markets, partially offset by sales decreases in the transportation, industrial and healthcare end markets.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Sales increased $26.0 million, or 4.1%, in the six months ended June 30, 2026 compared to the six months ended June 30, 2025. Favorable foreign currency impacts were 2.3%, while sales, excluding the impacts of foreign exchange, increased 1.8%. The sales increase was primarily within the packaging, building &amp; construction and defense end markets, partially offset by sales decreases in the transportation and industrial end markets.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income increased $12.5 million for the three months ended June 30, 2026 compared to the three months ended June 30, 2025. The increase was primarily driven by higher sales, favorable mix, and benefits of cost savings from productivity and restructuring actions that more than offset higher employee costs. Further, 2025 included approximately $3.0 million of incremental planned maintenance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income increased $12.8 million for the six months ended June 30, 2026 compared to the six months ended June 30, 2025. The increase was primarily driven by higher sales, favorable mix, and benefits of cost savings from productivity and restructuring actions that more than offset higher employee costs. Further, 2025 included approximately $3.0 million of incremental planned maintenance costs.</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Corporate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Corporate costs increased $7.7 million for the three months ended June 30, 2026, primarily driven by higher employee compensation costs.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Corporate costs decreased $84.3 million for the six months ended June 30, 2026, primarily driven by the Company's decision to cease development of the cloud-based enterprise resource planning system, S/4HANA, in 2025, which resulted in an impairment charge of $71.6 million and additional charges of $14.7 million for unpaid contractual obligations for hosting fees. Additionally, lower restructuring charges for the six months ended June 30, 2026 offset higher employee costs compared to the six months ended June 30, 2025.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objective is to finance our business through operating cash flow and an appropriate mix of debt and equity. By laddering the maturity structure, we avoid concentrations of debt maturities, reducing liquidity risk. We may from time to time seek to retire or purchase our outstanding debt with cash and/or exchanges for equity securities, in open market purchases, privately negotiated transactions or otherwise. We may also seek to repurchase our outstanding common shares. Such repurchases, if any, will depend on prevailing market conditions, our liquidity requirements, contractual restrictions and other factors. The amounts involved have been and may continue to be material.</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2100"/>
                <wp:effectExtent l="0" t="0" r="0" b="0"/>
                <wp:wrapNone/>
                <wp:docPr id="18" name="Frame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17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17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our liquidity as of June 30, 2026 and December 31, 2025:</w:t>
      </w:r>
    </w:p>
    <w:tbl>
      <w:tblPr>
        <w:tblW w:w="6776" w:type="dxa"/>
        <w:jc w:val="left"/>
        <w:tblInd w:w="0" w:type="dxa"/>
        <w:tblLayout w:type="fixed"/>
        <w:tblCellMar>
          <w:top w:w="28" w:type="dxa"/>
          <w:left w:w="28" w:type="dxa"/>
          <w:bottom w:w="28" w:type="dxa"/>
          <w:right w:w="28" w:type="dxa"/>
        </w:tblCellMar>
      </w:tblPr>
      <w:tblGrid>
        <w:gridCol w:w="853"/>
        <w:gridCol w:w="749"/>
        <w:gridCol w:w="753"/>
        <w:gridCol w:w="402"/>
        <w:gridCol w:w="1175"/>
        <w:gridCol w:w="207"/>
        <w:gridCol w:w="109"/>
        <w:gridCol w:w="109"/>
        <w:gridCol w:w="109"/>
        <w:gridCol w:w="431"/>
        <w:gridCol w:w="1565"/>
        <w:gridCol w:w="31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availability</w:t>
            </w:r>
          </w:p>
        </w:tc>
        <w:tc>
          <w:tcPr>
            <w:tcW w:w="1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Liquidity</w:t>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916.1 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1,000.8 </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approximately 78% of the Company’s cash and cash equivalents resided outside the United States.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Expected sources of cash needed to satisfy cash requirements for the remainder of 2026 include our cash on hand, cash from operations and available liquidity under our revolving credit facility, if necessary. We believe that these sources will also provide sufficient liquidity to satisfy our expected uses of cash for at least the next twelve months and the foreseeable future thereafter. Expected uses of cash for the remainder of 2026 include interest payments, cash taxes, dividend payments, debt repayments, environmental remediation payments, restructuring payments and capital expenditures.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describes the significant components of cash flows from operating, investing and financing activities for the six months ended June 30, 2026 and 2025.</w:t>
      </w:r>
    </w:p>
    <w:p>
      <w:pPr>
        <w:pStyle w:val="TextBody"/>
        <w:bidi w:val="0"/>
        <w:spacing w:lineRule="auto" w:line="288" w:before="120" w:after="283"/>
        <w:jc w:val="both"/>
        <w:rPr/>
      </w:pPr>
      <w:r>
        <w:rPr>
          <w:rFonts w:ascii="Arial;sans-serif" w:hAnsi="Arial;sans-serif"/>
          <w:b/>
          <w:i/>
          <w:color w:val="000000"/>
          <w:sz w:val="20"/>
          <w:u w:val="single"/>
        </w:rPr>
        <w:t>Operating Activities</w:t>
      </w:r>
      <w:r>
        <w:rPr>
          <w:color w:val="000000"/>
        </w:rPr>
        <w:t xml:space="preserve"> — </w:t>
      </w:r>
      <w:r>
        <w:rPr>
          <w:rFonts w:ascii="Arial;sans-serif" w:hAnsi="Arial;sans-serif"/>
          <w:b w:val="false"/>
          <w:color w:val="000000"/>
          <w:sz w:val="20"/>
        </w:rPr>
        <w:t xml:space="preserve">Net cash provided by operating activities decreased $2.4 million during the six months ended June 30, 2026 compared to the six months ended June 30, 2025, primarily driven by higher earnings offset by an investment in working capital and higher restructuring payments. </w:t>
      </w:r>
    </w:p>
    <w:p>
      <w:pPr>
        <w:pStyle w:val="TextBody"/>
        <w:bidi w:val="0"/>
        <w:spacing w:lineRule="auto" w:line="288" w:before="120" w:after="283"/>
        <w:jc w:val="both"/>
        <w:rPr/>
      </w:pPr>
      <w:r>
        <w:rPr>
          <w:rFonts w:ascii="Arial;sans-serif" w:hAnsi="Arial;sans-serif"/>
          <w:b/>
          <w:i/>
          <w:color w:val="000000"/>
          <w:sz w:val="20"/>
          <w:u w:val="single"/>
        </w:rPr>
        <w:t>Investing Activities</w:t>
      </w:r>
      <w:r>
        <w:rPr>
          <w:color w:val="000000"/>
        </w:rPr>
        <w:t xml:space="preserve"> — </w:t>
      </w:r>
      <w:r>
        <w:rPr>
          <w:rFonts w:ascii="Arial;sans-serif" w:hAnsi="Arial;sans-serif"/>
          <w:b w:val="false"/>
          <w:color w:val="000000"/>
          <w:sz w:val="20"/>
        </w:rPr>
        <w:t>Net cash used in investing activities during the six months ended June 30, 2026 and 2025 of $41.3 million and $39.5 million, respectively,</w:t>
      </w:r>
      <w:r>
        <w:rPr>
          <w:color w:val="000000"/>
        </w:rPr>
        <w:t xml:space="preserve"> </w:t>
      </w:r>
      <w:r>
        <w:rPr>
          <w:rFonts w:ascii="Arial;sans-serif" w:hAnsi="Arial;sans-serif"/>
          <w:b w:val="false"/>
          <w:color w:val="000000"/>
          <w:sz w:val="20"/>
        </w:rPr>
        <w:t>reflects the impact of capital expenditures.</w:t>
      </w:r>
    </w:p>
    <w:p>
      <w:pPr>
        <w:pStyle w:val="TextBody"/>
        <w:bidi w:val="0"/>
        <w:spacing w:lineRule="auto" w:line="288" w:before="120" w:after="283"/>
        <w:jc w:val="both"/>
        <w:rPr/>
      </w:pPr>
      <w:r>
        <w:rPr>
          <w:rFonts w:ascii="Arial;sans-serif" w:hAnsi="Arial;sans-serif"/>
          <w:b/>
          <w:i/>
          <w:color w:val="000000"/>
          <w:sz w:val="20"/>
          <w:u w:val="single"/>
        </w:rPr>
        <w:t>Financing Activities</w:t>
      </w:r>
      <w:r>
        <w:rPr>
          <w:color w:val="000000"/>
        </w:rPr>
        <w:t xml:space="preserve"> — </w:t>
      </w:r>
      <w:r>
        <w:rPr>
          <w:rFonts w:ascii="Arial;sans-serif" w:hAnsi="Arial;sans-serif"/>
          <w:b w:val="false"/>
          <w:color w:val="000000"/>
          <w:sz w:val="20"/>
        </w:rPr>
        <w:t>Net cash used in financing activities for the six months ended June 30, 2026 and 2025 of $103.0 million and $106.4 million, respectively, primarily reflects dividend payments and prepayments on Avient's senior secured term loan.</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2100"/>
                <wp:effectExtent l="0" t="0" r="0" b="0"/>
                <wp:wrapNone/>
                <wp:docPr id="19" name="Frame1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18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18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aggregate maturities of the principal amount of debt for the current year, next four years and thereafter, are as follows:</w:t>
      </w:r>
    </w:p>
    <w:tbl>
      <w:tblPr>
        <w:tblW w:w="3273" w:type="dxa"/>
        <w:jc w:val="left"/>
        <w:tblInd w:w="0" w:type="dxa"/>
        <w:tblLayout w:type="fixed"/>
        <w:tblCellMar>
          <w:top w:w="28" w:type="dxa"/>
          <w:left w:w="28" w:type="dxa"/>
          <w:bottom w:w="28" w:type="dxa"/>
          <w:right w:w="28" w:type="dxa"/>
        </w:tblCellMar>
      </w:tblPr>
      <w:tblGrid>
        <w:gridCol w:w="658"/>
        <w:gridCol w:w="578"/>
        <w:gridCol w:w="579"/>
        <w:gridCol w:w="109"/>
        <w:gridCol w:w="109"/>
        <w:gridCol w:w="109"/>
        <w:gridCol w:w="211"/>
        <w:gridCol w:w="76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Aggregate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On March 12, 2025, the Company refinanced its senior secured term loan by amending the credit agreement governing such term loan (the Term Loan Amendment). The Term Loan Amendment reduced the interest rate per annum by 25 basis points, which now is either (i) Adjusted Term SOFR (as defined in the Term Loan Amendment) plus 1.75%, or (ii) a Base Rate (as defined in the Term Loan Amendment) plus 0.75%. The maturity date and other terms and conditions are substantially the same as the terms and conditions under the credit agreement immediately prior to the Term Loan Amendment.</w:t>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On June 12, 2025, the Company entered into a revolving credit agreement (the Revolving Credit Agreement) with various financial institutions as lenders, and JPMorgan Chase Bank, N.A., as administrative agent, which replaced our previous credit agreement. The Revolving Credit Agreement provides for a senior secured revolving credit facility of up to $500.0 million, which may be increased by up to $250.0 million, subject to certain conditions. Loans under the Revolving Credit Agreement will mature on June 12, 2030. The Revolving Credit Agreement contains representations and warranties, affirmative covenants, negative covenants and events of default that are substantially similar to those contained in the Company's existing term loan credit agreement.</w:t>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In 2025, the Company made voluntary prepayments of $150.0 million on its senior secured term loan, which were applied to the principal installments in direct order of maturity. These prepayments were made using cash on hand and without penalty or premium.</w:t>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In June 2026, the Company made voluntary a prepayment of $50.0 million on its senior secured term loan, which was applied to the principal installments in direct order of maturity. This prepayment was made using cash on hand and without penalty or premium.</w:t>
      </w:r>
    </w:p>
    <w:p>
      <w:pPr>
        <w:pStyle w:val="TextBody"/>
        <w:bidi w:val="0"/>
        <w:spacing w:lineRule="auto" w:line="288" w:before="120" w:after="283"/>
        <w:jc w:val="both"/>
        <w:rPr/>
      </w:pPr>
      <w:r>
        <w:rPr>
          <w:rFonts w:ascii="Arial;sans-serif" w:hAnsi="Arial;sans-serif"/>
          <w:b w:val="false"/>
          <w:color w:val="000000"/>
          <w:sz w:val="20"/>
        </w:rPr>
        <w:t xml:space="preserve">As of June 30, 2026, we were in compliance with all financial and restrictive covenants pertaining to our debt. For additional information regarding our debt, please see Note 7, </w:t>
      </w:r>
      <w:r>
        <w:rPr>
          <w:rFonts w:ascii="Arial;sans-serif" w:hAnsi="Arial;sans-serif"/>
          <w:b w:val="false"/>
          <w:i/>
          <w:color w:val="000000"/>
          <w:sz w:val="20"/>
        </w:rPr>
        <w:t xml:space="preserve">Financing Arrangements, </w:t>
      </w:r>
      <w:r>
        <w:rPr>
          <w:rFonts w:ascii="Arial;sans-serif" w:hAnsi="Arial;sans-serif"/>
          <w:b w:val="false"/>
          <w:color w:val="000000"/>
          <w:sz w:val="20"/>
        </w:rPr>
        <w:t>to the accompanying condensed consolidated financial statements</w:t>
      </w:r>
      <w:r>
        <w:rPr>
          <w:rFonts w:ascii="Arial;sans-serif" w:hAnsi="Arial;sans-serif"/>
          <w:b w:val="false"/>
          <w:i/>
          <w:color w:val="000000"/>
          <w:sz w:val="20"/>
        </w:rPr>
        <w: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Derivatives and Hedging</w:t>
      </w:r>
    </w:p>
    <w:p>
      <w:pPr>
        <w:pStyle w:val="TextBody"/>
        <w:bidi w:val="0"/>
        <w:spacing w:lineRule="auto" w:line="288" w:before="120" w:after="283"/>
        <w:jc w:val="both"/>
        <w:rPr/>
      </w:pPr>
      <w:r>
        <w:rPr>
          <w:rFonts w:ascii="Arial;sans-serif" w:hAnsi="Arial;sans-serif"/>
          <w:b w:val="false"/>
          <w:color w:val="000000"/>
          <w:sz w:val="20"/>
        </w:rPr>
        <w:t xml:space="preserve">We are exposed to market risks, such as changes in foreign currency exchange rates and interest rates. To manage the volatility related to these exposures we may enter into various derivative transactions. For additional information regarding our derivative instruments, please see Note 8, </w:t>
      </w:r>
      <w:r>
        <w:rPr>
          <w:rFonts w:ascii="Arial;sans-serif" w:hAnsi="Arial;sans-serif"/>
          <w:b w:val="false"/>
          <w:i/>
          <w:color w:val="000000"/>
          <w:sz w:val="20"/>
        </w:rPr>
        <w:t xml:space="preserve">Derivatives and Hedging, </w:t>
      </w:r>
      <w:r>
        <w:rPr>
          <w:rFonts w:ascii="Arial;sans-serif" w:hAnsi="Arial;sans-serif"/>
          <w:b w:val="false"/>
          <w:color w:val="000000"/>
          <w:sz w:val="20"/>
        </w:rPr>
        <w:t>to the accompanying condensed consolidated financial statements</w:t>
      </w:r>
      <w:r>
        <w:rPr>
          <w:rFonts w:ascii="Arial;sans-serif" w:hAnsi="Arial;sans-serif"/>
          <w:b w:val="false"/>
          <w:i/>
          <w:color w:val="000000"/>
          <w:sz w:val="20"/>
        </w:rPr>
        <w: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Material Cash Requirements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future obligations under various contracts relating to debt and interest payments, operating leases, pension and post-retirement benefit plans, purchase obligations, restructuring payments and environmental remediation obligations. During the six months ended June 30, 2026, there were no material changes to these obligations as reported 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2100"/>
                <wp:effectExtent l="0" t="0" r="0" b="0"/>
                <wp:wrapNone/>
                <wp:docPr id="20" name="Frame2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19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19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CAUTIONARY NOTE ON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this Quarterly Report on Form 10-Q, statements that are not reported financial results or other historical information are “forward-looking statements” within the meaning of the Private Securities Litigation Reform Act of 1995. Forward-looking statements give current expectations or forecasts of future events and are not guarantees of future performance. They are based on management’s expectations that involve a number of business risks and uncertainties, any of which could cause actual results to differ materially from those expressed in or implied by the forward-looking statements. You can identify these statements by the fact that they do not relate strictly to historic or current facts. They use words such as "will," “anticipate,” “estimate,” “expect,” “project,” “intend,” “plan,” “believe” and other words and terms of similar meaning in connection with any discussion of future operating or financial condition, performance and/or sales. In particular, these include statements relating to future actions; prospective changes in raw material costs, product pricing or product demand; future performance; estimated capital expenditures; results of current and anticipated market conditions and market strategies; sales efforts; expenses; the outcome of contingencies such as legal proceedings and environmental liabilities; and financial results. Factors that could cause actual results to differ materially from those implied by these forward-looking statements include, but are not limited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disruptions, uncertainty or volatility in the global credit markets that could adversely impact the availability of credit already arranged and the availability and cost of credit in the future;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effect on foreign operations of currency fluctuations, tariffs and other political, economic and regulatory risks;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disruptions or inefficiencies in our supply chain, logistics, or operations;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in laws and regulations in jurisdictions where we conduct business, including with respect to plastics and climate change;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to foreign trade policy, including new or increased tariffs and changing import/export regulations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fluctuations in raw material prices, quality and supply, and in energy prices and supply;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demand for our products and services;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production outages or material costs associated with scheduled or unscheduled maintenance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unanticipated developments that could occur with respect to contingencies such as litigation and environmental matters;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ability to pay regular quarterly cash dividends and the amounts and timing of any future dividends;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information systems failures, cybersecurity breaches and cyberattacks;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ability to service our indebtedness and restrictions on our current and future operations due to our indebtedness;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amounts for cash and non-cash charges related to restructuring plans that may differ from original estimates, including because of timing changes associated with the underlying 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other factors affecting our business beyond our control, including without limitation, changes in the general economy, changes in interest rates, changes in the rate of inflation, geopolitical conflicts, tariffs and any recessionary conditions;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other factors described in our Annual Report on Form 10-K for the year ended December 31, 2025 under 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cannot guarantee that any forward-looking statement will be realized, although we believe we have been prudent in our plans and assumptions. Achievement of future results is subject to risks, uncertainties and assumptions. Should known or unknown risks or uncertainties materialize, or should underlying assumptions prove inaccurate, actual results could vary materially from those anticipated, estimated or projected. Investors should bear this in mind as they consider forward-looking statements. We undertake no obligation to publicly update forward-looking statements, whether as a result of new information, future events or otherwise, except as otherwise required by law. You are advised, however, to consult any further disclosures we make on related subjects in our reports on Forms 10-Q, 8-K and 10-K filed with the Securities and Exchange Commission. You should understand that it is not possible to predict or identify all risk factors. Consequently, you should not consider any such list to be a complete set of all potential risks or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2100"/>
                <wp:effectExtent l="0" t="0" r="0" b="0"/>
                <wp:wrapNone/>
                <wp:docPr id="21" name="Frame2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20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20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color w:val="000000"/>
          <w:sz w:val="20"/>
          <w:u w:val="single"/>
        </w:rPr>
        <w:t>ITEM 3.</w:t>
      </w:r>
      <w:r>
        <w:rPr>
          <w:color w:val="000000"/>
        </w:rPr>
        <w:t xml:space="preserve"> </w:t>
      </w:r>
      <w:r>
        <w:rPr>
          <w:rFonts w:ascii="Arial;sans-serif" w:hAnsi="Arial;sans-serif"/>
          <w:b/>
          <w:color w:val="000000"/>
          <w:sz w:val="20"/>
          <w:u w:val="single"/>
        </w:rPr>
        <w:t>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to exposures to market risk as reported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TextBody"/>
        <w:bidi w:val="0"/>
        <w:spacing w:lineRule="auto" w:line="288" w:before="120" w:after="283"/>
        <w:jc w:val="both"/>
        <w:rPr/>
      </w:pPr>
      <w:r>
        <w:rPr>
          <w:rFonts w:ascii="Arial;sans-serif" w:hAnsi="Arial;sans-serif"/>
          <w:b/>
          <w:color w:val="000000"/>
          <w:sz w:val="20"/>
          <w:u w:val="single"/>
        </w:rPr>
        <w:t>ITEM 4.</w:t>
      </w:r>
      <w:r>
        <w:rPr>
          <w:color w:val="000000"/>
        </w:rPr>
        <w:t xml:space="preserve"> </w:t>
      </w:r>
      <w:r>
        <w:rPr>
          <w:rFonts w:ascii="Arial;sans-serif" w:hAnsi="Arial;sans-serif"/>
          <w:b/>
          <w:color w:val="000000"/>
          <w:sz w:val="20"/>
          <w:u w:val="single"/>
        </w:rPr>
        <w:t>CONTROLS AND PROCEDURES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Avient’s management, under the supervision of and with the participation of its Chief Executive Officer and its Chief Financial Officer, has evaluated the effectiveness of the design and operation of Avient’s disclosure controls and procedures, as defined in Rules 13a-15(e) and 15d-15(e) under the Securities Exchange Act of 1934, as of the end of the period covered by this Quarterly Report. Based upon this evaluation, Avient’s Chief Executive Officer and Chief Financial Officer have concluded that, as of the end of the period covered by this Quarterly Report, its disclosure controls and procedures were effective.</w:t>
      </w:r>
    </w:p>
    <w:p>
      <w:pPr>
        <w:pStyle w:val="TextBody"/>
        <w:bidi w:val="0"/>
        <w:spacing w:lineRule="auto" w:line="264" w:before="12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were no changes in Avient’s internal control over financial reporting during the quarter ended June 30, 2026 that materially affected, or are reasonably likely to materially affect, its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Arial;sans-serif" w:hAnsi="Arial;sans-serif"/>
          <w:b/>
          <w:color w:val="000000"/>
          <w:sz w:val="20"/>
          <w:u w:val="single"/>
        </w:rPr>
        <w:t>ITEM 1.</w:t>
      </w:r>
      <w:r>
        <w:rPr>
          <w:color w:val="000000"/>
        </w:rPr>
        <w:t> </w:t>
      </w:r>
      <w:r>
        <w:rPr>
          <w:rFonts w:ascii="Arial;sans-serif" w:hAnsi="Arial;sans-serif"/>
          <w:b/>
          <w:color w:val="000000"/>
          <w:sz w:val="20"/>
          <w:u w:val="single"/>
        </w:rPr>
        <w:t>LEGAL PROCEEDINGS</w:t>
      </w:r>
    </w:p>
    <w:p>
      <w:pPr>
        <w:pStyle w:val="TextBody"/>
        <w:bidi w:val="0"/>
        <w:spacing w:lineRule="auto" w:line="288" w:before="120" w:after="283"/>
        <w:jc w:val="both"/>
        <w:rPr/>
      </w:pPr>
      <w:r>
        <w:rPr>
          <w:rFonts w:ascii="Arial;sans-serif" w:hAnsi="Arial;sans-serif"/>
          <w:b w:val="false"/>
          <w:color w:val="000000"/>
          <w:sz w:val="20"/>
        </w:rPr>
        <w:t xml:space="preserve">Information regarding certain legal proceedings can be found in Note 10,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to the accompanying condensed consolidated financial statements and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Arial;sans-serif" w:hAnsi="Arial;sans-serif"/>
          <w:b/>
          <w:color w:val="000000"/>
          <w:sz w:val="20"/>
          <w:u w:val="single"/>
        </w:rPr>
        <w:t>ITEM 1A.</w:t>
      </w:r>
      <w:r>
        <w:rPr>
          <w:color w:val="000000"/>
        </w:rPr>
        <w:t> </w:t>
      </w:r>
      <w:r>
        <w:rPr>
          <w:rFonts w:ascii="Arial;sans-serif" w:hAnsi="Arial;sans-serif"/>
          <w:b/>
          <w:color w:val="000000"/>
          <w:sz w:val="20"/>
          <w:u w:val="single"/>
        </w:rPr>
        <w:t>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face a number of risks that could adversely affect our business, results of operations, financial position or cash flows. A discussion of our risk factors can be found in Item 1A, Risk factors, in our Annual Report on Form 10-K for the fiscal year ended December 31, 2025. During the three months ended June 30, 2026, there have been no material changes to the risk factors that were previously disclosed.</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Arial;sans-serif" w:hAnsi="Arial;sans-serif"/>
          <w:b/>
          <w:color w:val="000000"/>
          <w:sz w:val="20"/>
          <w:u w:val="single"/>
        </w:rPr>
        <w:t>ITEM 2.</w:t>
      </w:r>
      <w:r>
        <w:rPr>
          <w:color w:val="000000"/>
        </w:rPr>
        <w:t> </w:t>
      </w:r>
      <w:r>
        <w:rPr>
          <w:rFonts w:ascii="Arial;sans-serif" w:hAnsi="Arial;sans-serif"/>
          <w:b/>
          <w:color w:val="000000"/>
          <w:sz w:val="20"/>
          <w:u w:val="single"/>
        </w:rPr>
        <w:t>UNREGISTERED SALES OF EQUITY SECURITIES AND USE OF PROCEEDS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sets forth information regarding the repurchase of shares of our common shares during the periods indicated.</w:t>
      </w:r>
    </w:p>
    <w:tbl>
      <w:tblPr>
        <w:tblW w:w="10205" w:type="dxa"/>
        <w:jc w:val="left"/>
        <w:tblInd w:w="0" w:type="dxa"/>
        <w:tblLayout w:type="fixed"/>
        <w:tblCellMar>
          <w:top w:w="28" w:type="dxa"/>
          <w:left w:w="28" w:type="dxa"/>
          <w:bottom w:w="28" w:type="dxa"/>
          <w:right w:w="28" w:type="dxa"/>
        </w:tblCellMar>
      </w:tblPr>
      <w:tblGrid>
        <w:gridCol w:w="327"/>
        <w:gridCol w:w="288"/>
        <w:gridCol w:w="289"/>
        <w:gridCol w:w="500"/>
        <w:gridCol w:w="500"/>
        <w:gridCol w:w="502"/>
        <w:gridCol w:w="109"/>
        <w:gridCol w:w="109"/>
        <w:gridCol w:w="109"/>
        <w:gridCol w:w="442"/>
        <w:gridCol w:w="852"/>
        <w:gridCol w:w="231"/>
        <w:gridCol w:w="109"/>
        <w:gridCol w:w="109"/>
        <w:gridCol w:w="109"/>
        <w:gridCol w:w="828"/>
        <w:gridCol w:w="828"/>
        <w:gridCol w:w="830"/>
        <w:gridCol w:w="109"/>
        <w:gridCol w:w="109"/>
        <w:gridCol w:w="109"/>
        <w:gridCol w:w="1018"/>
        <w:gridCol w:w="737"/>
        <w:gridCol w:w="1052"/>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Maximum Number of Shares that May Yet be Purchased Under the Program</w:t>
            </w:r>
            <w:r>
              <w:rPr>
                <w:color w:val="000000"/>
              </w:rPr>
              <w:t xml:space="preserve"> </w:t>
            </w:r>
            <w:r>
              <w:rPr>
                <w:rFonts w:ascii="Arial;sans-serif" w:hAnsi="Arial;sans-serif"/>
                <w:b/>
                <w:color w:val="000000"/>
                <w:sz w:val="10"/>
              </w:rPr>
              <w:t>(1)</w:t>
            </w:r>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to April 30</w:t>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4,957,472 </w:t>
            </w:r>
          </w:p>
        </w:tc>
        <w:tc>
          <w:tcPr>
            <w:tcW w:w="10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to May 31</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4,957,472 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to June 30</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4,957,472 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Arial;sans-serif" w:hAnsi="Arial;sans-serif"/>
          <w:b w:val="false"/>
          <w:color w:val="000000"/>
          <w:sz w:val="13"/>
        </w:rPr>
        <w:t xml:space="preserve">(1) </w:t>
      </w:r>
      <w:r>
        <w:rPr>
          <w:rFonts w:ascii="Arial;sans-serif" w:hAnsi="Arial;sans-serif"/>
          <w:b w:val="false"/>
          <w:color w:val="000000"/>
          <w:sz w:val="16"/>
        </w:rPr>
        <w:t>Our Board of Directors approved a common share repurchase program authorizing Avient to purchase its common shares in August 2008, which share repurchase authorization has been subsequently increased from time to time. On December 9, 2020, we announced that we would increase our share buyback by an additional 5.0 million shares. As of June 30, 2026, approximately 5.0 million shares remained available for purchase under these authorizations, which have no expiration. Purchases of common shares may be made by open market purchases or privately negotiated transactions and may be made pursuant to Rule 10b5-1 plans and accelerated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2100"/>
                <wp:effectExtent l="0" t="0" r="0" b="0"/>
                <wp:wrapNone/>
                <wp:docPr id="22" name="Frame2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21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21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color w:val="000000"/>
          <w:sz w:val="20"/>
          <w:u w:val="single"/>
        </w:rPr>
        <w:t>ITEM 5.</w:t>
      </w:r>
      <w:r>
        <w:rPr>
          <w:color w:val="000000"/>
        </w:rPr>
        <w:t> </w:t>
      </w:r>
      <w:r>
        <w:rPr>
          <w:rFonts w:ascii="Arial;sans-serif" w:hAnsi="Arial;sans-serif"/>
          <w:b/>
          <w:color w:val="000000"/>
          <w:sz w:val="20"/>
          <w:u w:val="single"/>
        </w:rPr>
        <w:t>OTHER INFORMATION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Trading Arrangements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None of the Company's directors or officers (as defined in Rule 16a-1(f) promulgated under the Securities Exchange Act of 1934) adopted, modified, or terminated a “Rule 10b5-1 trading arrangement” or a “non-Rule 10b5-1 trading arrangement,” as each term is defined in Item 408 of Regulation S-K, during the Company's fiscal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2100"/>
                <wp:effectExtent l="0" t="0" r="0" b="0"/>
                <wp:wrapNone/>
                <wp:docPr id="23" name="Frame2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22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22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u w:val="single"/>
        </w:rPr>
        <w:t>ITEM 6.</w:t>
      </w:r>
      <w:r>
        <w:rPr>
          <w:color w:val="000000"/>
        </w:rPr>
        <w:t> </w:t>
      </w:r>
      <w:r>
        <w:rPr>
          <w:rFonts w:ascii="Arial;sans-serif" w:hAnsi="Arial;sans-serif"/>
          <w:b/>
          <w:color w:val="000000"/>
          <w:sz w:val="20"/>
          <w:u w:val="single"/>
        </w:rPr>
        <w:t>EXHIBITS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93"/>
        <w:gridCol w:w="257"/>
        <w:gridCol w:w="258"/>
        <w:gridCol w:w="109"/>
        <w:gridCol w:w="109"/>
        <w:gridCol w:w="109"/>
        <w:gridCol w:w="2769"/>
        <w:gridCol w:w="2606"/>
        <w:gridCol w:w="369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r>
      <w:tr>
        <w:trPr/>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Amended and Restated Articles of Incorporation of Avient Corporation (as amended through June 30, 2020) (incorporated by reference to Exhibit 3.1 to the Company's Annual Report on Form 10-K for the fiscal year ended December 31, 2020, SEC File No. 1-16091)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Avient Corporation Regulations (amended and restated effective May 11, 2023) (incorporated by reference to Exhibit 3.1 to the Company's Current Report on Form 8-K, filed May 16, 2023, SEC File No. 1-16091)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0"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0"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nt-ex311_20260630.htm">
              <w:r>
                <w:rPr>
                  <w:rStyle w:val="InternetLink"/>
                  <w:rFonts w:ascii="Arial;sans-serif" w:hAnsi="Arial;sans-serif"/>
                  <w:b w:val="false"/>
                  <w:color w:val="0000FF"/>
                  <w:sz w:val="16"/>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nt-ex311_20260630.htm">
              <w:r>
                <w:rPr>
                  <w:rStyle w:val="InternetLink"/>
                  <w:rFonts w:ascii="Arial;sans-serif" w:hAnsi="Arial;sans-serif"/>
                  <w:b w:val="false"/>
                  <w:color w:val="0000FF"/>
                  <w:sz w:val="16"/>
                  <w:u w:val="single"/>
                </w:rPr>
                <w:t>Certification of Ashish K. Khandpur, Chairman, President and Chief Executive Officer, pursuant to SEC Rules 13a-14(a) and 15d-14(a), adopted pursuant to Section 302 of the Sarbanes-Oxley Act of 2002</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nt-ex312_20260630.htm">
              <w:r>
                <w:rPr>
                  <w:rStyle w:val="InternetLink"/>
                  <w:rFonts w:ascii="Arial;sans-serif" w:hAnsi="Arial;sans-serif"/>
                  <w:b w:val="false"/>
                  <w:color w:val="0000FF"/>
                  <w:sz w:val="16"/>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nt-ex312_20260630.htm">
              <w:r>
                <w:rPr>
                  <w:rStyle w:val="InternetLink"/>
                  <w:rFonts w:ascii="Arial;sans-serif" w:hAnsi="Arial;sans-serif"/>
                  <w:b w:val="false"/>
                  <w:color w:val="000080"/>
                  <w:sz w:val="16"/>
                  <w:u w:val="single"/>
                </w:rPr>
                <w:t xml:space="preserve">Certification of </w:t>
              </w:r>
            </w:hyperlink>
            <w:hyperlink w:anchor="avnt-ex312_20260630.htm">
              <w:r>
                <w:rPr>
                  <w:rStyle w:val="InternetLink"/>
                  <w:rFonts w:ascii="Arial;sans-serif" w:hAnsi="Arial;sans-serif"/>
                  <w:b w:val="false"/>
                  <w:color w:val="000080"/>
                  <w:sz w:val="16"/>
                  <w:u w:val="single"/>
                </w:rPr>
                <w:t>G</w:t>
              </w:r>
            </w:hyperlink>
            <w:hyperlink w:anchor="avnt-ex312_20260630.htm">
              <w:r>
                <w:rPr>
                  <w:rStyle w:val="InternetLink"/>
                  <w:rFonts w:ascii="Arial;sans-serif" w:hAnsi="Arial;sans-serif"/>
                  <w:b w:val="false"/>
                  <w:color w:val="000080"/>
                  <w:sz w:val="16"/>
                  <w:u w:val="single"/>
                </w:rPr>
                <w:t>iuseppe Di Salvo</w:t>
              </w:r>
            </w:hyperlink>
            <w:hyperlink w:anchor="avnt-ex312_20260630.htm">
              <w:r>
                <w:rPr>
                  <w:rStyle w:val="InternetLink"/>
                  <w:rFonts w:ascii="Arial;sans-serif" w:hAnsi="Arial;sans-serif"/>
                  <w:b w:val="false"/>
                  <w:color w:val="000080"/>
                  <w:sz w:val="16"/>
                  <w:u w:val="single"/>
                </w:rPr>
                <w:t>, Senior Vice President and Chief Financial Officer, pursuant to SEC Rules 13a-14(a) and 15d-14(a), adopted pursuant to Section 302 of the Sarbanes-Oxley Act of 2002</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nt-ex321_20260630.htm">
              <w:r>
                <w:rPr>
                  <w:rStyle w:val="InternetLink"/>
                  <w:rFonts w:ascii="Arial;sans-serif" w:hAnsi="Arial;sans-serif"/>
                  <w:b w:val="false"/>
                  <w:color w:val="0000FF"/>
                  <w:sz w:val="16"/>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nt-ex321_20260630.htm">
              <w:r>
                <w:rPr>
                  <w:rStyle w:val="InternetLink"/>
                  <w:rFonts w:ascii="Arial;sans-serif" w:hAnsi="Arial;sans-serif"/>
                  <w:b w:val="false"/>
                  <w:color w:val="0000FF"/>
                  <w:sz w:val="16"/>
                  <w:u w:val="single"/>
                </w:rPr>
                <w:t>Certification pursuant to 18 U.S.C. § 1350, adopted pursuant to Section 906 of the Sarbanes-Oxley Act of 2002, as signed by Ashish K. Khandpur, Chairman, President and Chief Executive Officer</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nt-ex322_20260630.htm">
              <w:r>
                <w:rPr>
                  <w:rStyle w:val="InternetLink"/>
                  <w:rFonts w:ascii="Arial;sans-serif" w:hAnsi="Arial;sans-serif"/>
                  <w:b w:val="false"/>
                  <w:color w:val="0000FF"/>
                  <w:sz w:val="16"/>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nt-ex322_20260630.htm">
              <w:r>
                <w:rPr>
                  <w:rStyle w:val="InternetLink"/>
                  <w:rFonts w:ascii="Arial;sans-serif" w:hAnsi="Arial;sans-serif"/>
                  <w:b w:val="false"/>
                  <w:color w:val="000080"/>
                  <w:sz w:val="16"/>
                  <w:u w:val="single"/>
                </w:rPr>
                <w:t xml:space="preserve">Certification pursuant to 18 U.S.C. § 1350, adopted pursuant to Section 906 of the Sarbanes-Oxley Act of 2002, as signed by </w:t>
              </w:r>
            </w:hyperlink>
            <w:hyperlink w:anchor="avnt-ex322_20260630.htm">
              <w:r>
                <w:rPr>
                  <w:rStyle w:val="InternetLink"/>
                  <w:rFonts w:ascii="Arial;sans-serif" w:hAnsi="Arial;sans-serif"/>
                  <w:b w:val="false"/>
                  <w:color w:val="000080"/>
                  <w:sz w:val="16"/>
                  <w:u w:val="single"/>
                </w:rPr>
                <w:t>Giuseppe Di Salvo</w:t>
              </w:r>
            </w:hyperlink>
            <w:hyperlink w:anchor="avnt-ex322_20260630.htm">
              <w:r>
                <w:rPr>
                  <w:rStyle w:val="InternetLink"/>
                  <w:rFonts w:ascii="Arial;sans-serif" w:hAnsi="Arial;sans-serif"/>
                  <w:b w:val="false"/>
                  <w:color w:val="000080"/>
                  <w:sz w:val="16"/>
                  <w:u w:val="single"/>
                </w:rPr>
                <w:t>, Senior Vice President and Chief Financial Officer</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0"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0"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2100"/>
                <wp:effectExtent l="0" t="0" r="0" b="0"/>
                <wp:wrapNone/>
                <wp:docPr id="24" name="Frame2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23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23 AVIENT CORPORATION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both"/>
        <w:rPr>
          <w:color w:val="000000"/>
        </w:rPr>
      </w:pPr>
      <w:r>
        <w:rPr>
          <w:color w:val="000000"/>
        </w:rPr>
        <w:t> </w:t>
      </w:r>
    </w:p>
    <w:tbl>
      <w:tblPr>
        <w:tblW w:w="5848" w:type="dxa"/>
        <w:jc w:val="left"/>
        <w:tblInd w:w="0" w:type="dxa"/>
        <w:tblLayout w:type="fixed"/>
        <w:tblCellMar>
          <w:top w:w="28" w:type="dxa"/>
          <w:left w:w="28" w:type="dxa"/>
          <w:bottom w:w="28" w:type="dxa"/>
          <w:right w:w="28" w:type="dxa"/>
        </w:tblCellMar>
      </w:tblPr>
      <w:tblGrid>
        <w:gridCol w:w="520"/>
        <w:gridCol w:w="458"/>
        <w:gridCol w:w="462"/>
        <w:gridCol w:w="1266"/>
        <w:gridCol w:w="1266"/>
        <w:gridCol w:w="1269"/>
        <w:gridCol w:w="178"/>
        <w:gridCol w:w="178"/>
        <w:gridCol w:w="25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3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AVIENT CORPORATION</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Giuseppe Di Salvo</w:t>
            </w:r>
          </w:p>
        </w:tc>
        <w:tc>
          <w:tcPr>
            <w:tcW w:w="6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Giuseppe Di Salvo</w:t>
              <w:br/>
              <w:t>Senior Vice President and 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2100"/>
                <wp:effectExtent l="0" t="0" r="0" b="0"/>
                <wp:wrapNone/>
                <wp:docPr id="25" name="Frame2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24 AVIENT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24 AVIENT CORPORATION</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Ashish K. Khandpur,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Avient Corporation;</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bl>
      <w:tblPr>
        <w:tblW w:w="4110" w:type="dxa"/>
        <w:jc w:val="left"/>
        <w:tblInd w:w="0" w:type="dxa"/>
        <w:tblLayout w:type="fixed"/>
        <w:tblCellMar>
          <w:top w:w="28" w:type="dxa"/>
          <w:left w:w="28" w:type="dxa"/>
          <w:bottom w:w="28" w:type="dxa"/>
          <w:right w:w="28" w:type="dxa"/>
        </w:tblCellMar>
      </w:tblPr>
      <w:tblGrid>
        <w:gridCol w:w="1314"/>
        <w:gridCol w:w="1153"/>
        <w:gridCol w:w="1643"/>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Ashish K. Khandpur</w:t>
            </w:r>
          </w:p>
        </w:tc>
      </w:tr>
      <w:tr>
        <w:trPr/>
        <w:tc>
          <w:tcPr>
            <w:tcW w:w="4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Ashish K. Khandpur</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Giuseppe Di Salvo,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Avient Corporation;</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bl>
      <w:tblPr>
        <w:tblW w:w="4155" w:type="dxa"/>
        <w:jc w:val="left"/>
        <w:tblInd w:w="0" w:type="dxa"/>
        <w:tblLayout w:type="fixed"/>
        <w:tblCellMar>
          <w:top w:w="28" w:type="dxa"/>
          <w:left w:w="28" w:type="dxa"/>
          <w:bottom w:w="28" w:type="dxa"/>
          <w:right w:w="28" w:type="dxa"/>
        </w:tblCellMar>
      </w:tblPr>
      <w:tblGrid>
        <w:gridCol w:w="1329"/>
        <w:gridCol w:w="1165"/>
        <w:gridCol w:w="1661"/>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Giuseppe Di Salvo</w:t>
            </w:r>
          </w:p>
        </w:tc>
      </w:tr>
      <w:tr>
        <w:trPr/>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Giuseppe Di Salvo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Avient Corporation (the “Company”) for the period ended June 30, 2026, as filed with the Securities and Exchange Commission on the date hereof (the “Report”), I, Ashish K. Khandpur, Chairman, President and Chief Executive Officer of the Company, do hereby certify, pursuant to 18 U.S.C. § 1350, as adopted pursuant to § 906 of the Sarbanes-Oxley Act of 2002, that, to my knowledge:</w:t>
      </w:r>
    </w:p>
    <w:p>
      <w:pPr>
        <w:pStyle w:val="TextBody"/>
        <w:bidi w:val="0"/>
        <w:spacing w:before="180"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the dates and for the periods expressed in the Report.</w:t>
      </w:r>
    </w:p>
    <w:tbl>
      <w:tblPr>
        <w:tblW w:w="4110" w:type="dxa"/>
        <w:jc w:val="left"/>
        <w:tblInd w:w="0" w:type="dxa"/>
        <w:tblLayout w:type="fixed"/>
        <w:tblCellMar>
          <w:top w:w="28" w:type="dxa"/>
          <w:left w:w="28" w:type="dxa"/>
          <w:bottom w:w="28" w:type="dxa"/>
          <w:right w:w="28" w:type="dxa"/>
        </w:tblCellMar>
      </w:tblPr>
      <w:tblGrid>
        <w:gridCol w:w="1314"/>
        <w:gridCol w:w="1153"/>
        <w:gridCol w:w="1643"/>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Ashish K. Khandpur</w:t>
            </w:r>
          </w:p>
        </w:tc>
      </w:tr>
      <w:tr>
        <w:trPr/>
        <w:tc>
          <w:tcPr>
            <w:tcW w:w="4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Ashish K. Khandpur</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Avient Corporation (the “Company”) for the period ended June 30, 2026, as filed with the Securities and Exchange Commission on the date hereof (the “Report”), I, Giuseppe Di Salvo, Senior Vice President and Chief Financial Officer of the Company, do hereby certify, pursuant to 18 U.S.C. § 1350, as adopted pursuant to § 906 of the Sarbanes-Oxley Act of 2002, that, to my knowledge:</w:t>
      </w:r>
    </w:p>
    <w:p>
      <w:pPr>
        <w:pStyle w:val="TextBody"/>
        <w:bidi w:val="0"/>
        <w:spacing w:before="180"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the dates and for the periods expressed in the Report.</w:t>
      </w:r>
    </w:p>
    <w:tbl>
      <w:tblPr>
        <w:tblW w:w="4155" w:type="dxa"/>
        <w:jc w:val="left"/>
        <w:tblInd w:w="0" w:type="dxa"/>
        <w:tblLayout w:type="fixed"/>
        <w:tblCellMar>
          <w:top w:w="28" w:type="dxa"/>
          <w:left w:w="28" w:type="dxa"/>
          <w:bottom w:w="28" w:type="dxa"/>
          <w:right w:w="28" w:type="dxa"/>
        </w:tblCellMar>
      </w:tblPr>
      <w:tblGrid>
        <w:gridCol w:w="1329"/>
        <w:gridCol w:w="1165"/>
        <w:gridCol w:w="1661"/>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Giuseppe Di Salvo</w:t>
            </w:r>
          </w:p>
        </w:tc>
      </w:tr>
      <w:tr>
        <w:trPr/>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Giuseppe Di Salvo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22976/000112297621000014/avnt-ex31_20201231.htm" TargetMode="External"/><Relationship Id="rId3" Type="http://schemas.openxmlformats.org/officeDocument/2006/relationships/hyperlink" Target="https://www.sec.gov/Archives/edgar/data/1122976/000112297621000014/avnt-ex31_20201231.htm" TargetMode="External"/><Relationship Id="rId4" Type="http://schemas.openxmlformats.org/officeDocument/2006/relationships/hyperlink" Target="https://www.sec.gov/Archives/edgar/data/1122976/000112297623000028/avnt-exx31_20230511.htm" TargetMode="External"/><Relationship Id="rId5" Type="http://schemas.openxmlformats.org/officeDocument/2006/relationships/hyperlink" Target="https://www.sec.gov/Archives/edgar/data/1122976/000112297623000028/avnt-exx31_2023051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11313</Words>
  <Characters>63425</Characters>
  <CharactersWithSpaces>73792</CharactersWithSpaces>
  <Paragraphs>1919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