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99"/>
        <w:spacing w:after="0"/>
        <w:rPr>
          <w:sz w:val="20"/>
          <w:szCs w:val="20"/>
          <w:color w:val="auto"/>
        </w:rPr>
      </w:pPr>
      <w:r>
        <w:rPr>
          <w:rFonts w:ascii="Courier New" w:cs="Courier New" w:eastAsia="Courier New" w:hAnsi="Courier New"/>
          <w:sz w:val="18"/>
          <w:szCs w:val="18"/>
          <w:color w:val="auto"/>
        </w:rPr>
        <w:t>Page 1 of 5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098"/>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998"/>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POLYONE CORP</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161"/>
        <w:spacing w:after="0"/>
        <w:rPr>
          <w:sz w:val="20"/>
          <w:szCs w:val="20"/>
          <w:color w:val="auto"/>
        </w:rPr>
      </w:pPr>
      <w:r>
        <w:rPr>
          <w:rFonts w:ascii="Courier New" w:cs="Courier New" w:eastAsia="Courier New" w:hAnsi="Courier New"/>
          <w:sz w:val="18"/>
          <w:szCs w:val="18"/>
          <w:color w:val="auto"/>
        </w:rPr>
        <w:t>COM NEW</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73179P106</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2012</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1" w:right="31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21" w:right="8099" w:hanging="311"/>
        <w:spacing w:after="0" w:line="279" w:lineRule="auto"/>
        <w:tabs>
          <w:tab w:leader="none" w:pos="52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1" w:right="26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2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1"/>
        <w:spacing w:after="0"/>
        <w:tabs>
          <w:tab w:leader="none" w:pos="3041" w:val="left"/>
          <w:tab w:leader="none" w:pos="5981" w:val="left"/>
        </w:tabs>
        <w:rPr>
          <w:sz w:val="20"/>
          <w:szCs w:val="20"/>
          <w:color w:val="auto"/>
        </w:rPr>
      </w:pPr>
      <w:r>
        <w:rPr>
          <w:rFonts w:ascii="Courier New" w:cs="Courier New" w:eastAsia="Courier New" w:hAnsi="Courier New"/>
          <w:sz w:val="18"/>
          <w:szCs w:val="18"/>
          <w:color w:val="auto"/>
        </w:rPr>
        <w:t>CUSIP NO. 73179P106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000"/>
          </w:cols>
          <w:pgMar w:left="459" w:top="244" w:right="1440" w:bottom="0" w:gutter="0" w:footer="0" w:header="0"/>
        </w:sectPr>
      </w:pPr>
    </w:p>
    <w:p>
      <w:pPr>
        <w:spacing w:after="0" w:line="207" w:lineRule="exact"/>
        <w:rPr>
          <w:sz w:val="24"/>
          <w:szCs w:val="24"/>
          <w:color w:val="auto"/>
        </w:rPr>
      </w:pPr>
    </w:p>
    <w:p>
      <w:pPr>
        <w:jc w:val="center"/>
        <w:ind w:left="641"/>
        <w:spacing w:after="0"/>
        <w:rPr>
          <w:sz w:val="20"/>
          <w:szCs w:val="20"/>
          <w:color w:val="auto"/>
        </w:rPr>
      </w:pPr>
      <w:r>
        <w:rPr>
          <w:rFonts w:ascii="Courier New" w:cs="Courier New" w:eastAsia="Courier New" w:hAnsi="Courier New"/>
          <w:sz w:val="16"/>
          <w:szCs w:val="16"/>
          <w:color w:val="auto"/>
        </w:rPr>
        <w:t>AllianceBernstein LP</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13-3434400</w:t>
      </w:r>
    </w:p>
    <w:p>
      <w:pPr>
        <w:spacing w:after="0" w:line="200" w:lineRule="exact"/>
        <w:rPr>
          <w:sz w:val="24"/>
          <w:szCs w:val="24"/>
          <w:color w:val="auto"/>
        </w:rPr>
      </w:pPr>
    </w:p>
    <w:p>
      <w:pPr>
        <w:sectPr>
          <w:pgSz w:w="11900" w:h="16838" w:orient="portrait"/>
          <w:cols w:equalWidth="0" w:num="2">
            <w:col w:w="2741" w:space="620"/>
            <w:col w:w="6639"/>
          </w:cols>
          <w:pgMar w:left="459" w:top="244" w:right="1440" w:bottom="0" w:gutter="0" w:footer="0" w:header="0"/>
          <w:type w:val="continuous"/>
        </w:sectPr>
      </w:pPr>
    </w:p>
    <w:p>
      <w:pPr>
        <w:spacing w:after="0" w:line="2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2. CHECK THE APPROPRIATE BOX IF A MEMBER OF A GROUP *</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200" w:lineRule="exact"/>
        <w:rPr>
          <w:sz w:val="24"/>
          <w:szCs w:val="24"/>
          <w:color w:val="auto"/>
        </w:rPr>
      </w:pPr>
    </w:p>
    <w:p>
      <w:pPr>
        <w:sectPr>
          <w:pgSz w:w="11900" w:h="16838" w:orient="portrait"/>
          <w:cols w:equalWidth="0" w:num="2">
            <w:col w:w="6541" w:space="720"/>
            <w:col w:w="2739"/>
          </w:cols>
          <w:pgMar w:left="459" w:top="244" w:right="1440" w:bottom="0" w:gutter="0" w:footer="0" w:header="0"/>
          <w:type w:val="continuous"/>
        </w:sectPr>
      </w:pPr>
    </w:p>
    <w:p>
      <w:pPr>
        <w:spacing w:after="0" w:line="18" w:lineRule="exact"/>
        <w:rPr>
          <w:sz w:val="24"/>
          <w:szCs w:val="24"/>
          <w:color w:val="auto"/>
        </w:rPr>
      </w:pPr>
    </w:p>
    <w:p>
      <w:pPr>
        <w:ind w:left="321" w:hanging="321"/>
        <w:spacing w:after="0"/>
        <w:tabs>
          <w:tab w:leader="none" w:pos="3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1" w:right="5899" w:hanging="321"/>
        <w:spacing w:after="0" w:line="235" w:lineRule="auto"/>
        <w:tabs>
          <w:tab w:leader="none" w:pos="3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0" w:lineRule="exact"/>
        <w:rPr>
          <w:sz w:val="24"/>
          <w:szCs w:val="24"/>
          <w:color w:val="auto"/>
        </w:rPr>
      </w:pPr>
    </w:p>
    <w:p>
      <w:pPr>
        <w:spacing w:after="0" w:line="205"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8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NUMBER OF SHARES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31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2,987,882</w:t>
            </w: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AS OF</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 2012</w:t>
            </w:r>
          </w:p>
        </w:tc>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BY EACH</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3,289,242</w:t>
            </w: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108,840</w:t>
            </w:r>
          </w:p>
        </w:tc>
      </w:tr>
      <w:tr>
        <w:trPr>
          <w:trHeight w:val="608"/>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6"/>
              </w:rPr>
              <w:t>9. AGGREGATE AMOUNT</w:t>
            </w:r>
          </w:p>
        </w:tc>
        <w:tc>
          <w:tcPr>
            <w:tcW w:w="4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3,398,082</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ectPr>
          <w:pgSz w:w="11900" w:h="16838" w:orient="portrait"/>
          <w:cols w:equalWidth="0" w:num="1">
            <w:col w:w="10000"/>
          </w:cols>
          <w:pgMar w:left="459" w:top="244" w:right="1440" w:bottom="0" w:gutter="0" w:footer="0" w:header="0"/>
          <w:type w:val="continuous"/>
        </w:sectPr>
      </w:pPr>
    </w:p>
    <w:bookmarkStart w:id="1" w:name="page2"/>
    <w:bookmarkEnd w:id="1"/>
    <w:p>
      <w:pPr>
        <w:ind w:left="427"/>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CHECK BOX IF THE</w:t>
            </w:r>
          </w:p>
        </w:tc>
        <w:tc>
          <w:tcPr>
            <w:tcW w:w="50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50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w:t>
            </w:r>
          </w:p>
        </w:tc>
      </w:tr>
      <w:tr>
        <w:trPr>
          <w:trHeight w:val="810"/>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PERCENT OF CLASS</w:t>
            </w:r>
          </w:p>
        </w:tc>
        <w:tc>
          <w:tcPr>
            <w:tcW w:w="50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w:t>
            </w:r>
          </w:p>
        </w:tc>
      </w:tr>
    </w:tbl>
    <w:p>
      <w:pPr>
        <w:spacing w:after="0" w:line="207" w:lineRule="exact"/>
        <w:rPr>
          <w:sz w:val="20"/>
          <w:szCs w:val="20"/>
          <w:color w:val="auto"/>
        </w:rPr>
      </w:pPr>
    </w:p>
    <w:p>
      <w:pPr>
        <w:ind w:left="427" w:right="6939" w:hanging="427"/>
        <w:spacing w:after="0" w:line="235" w:lineRule="auto"/>
        <w:tabs>
          <w:tab w:leader="none" w:pos="4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IA</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360" w:val="left"/>
          <w:tab w:leader="none" w:pos="6000" w:val="left"/>
        </w:tabs>
        <w:rPr>
          <w:sz w:val="20"/>
          <w:szCs w:val="20"/>
          <w:color w:val="auto"/>
        </w:rPr>
      </w:pPr>
      <w:r>
        <w:rPr>
          <w:rFonts w:ascii="Courier New" w:cs="Courier New" w:eastAsia="Courier New" w:hAnsi="Courier New"/>
          <w:sz w:val="18"/>
          <w:szCs w:val="18"/>
          <w:color w:val="auto"/>
        </w:rPr>
        <w:t>CUSIP NO. 73179P106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POLYONE CORP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33587 Walker Road</w:t>
      </w:r>
    </w:p>
    <w:p>
      <w:pPr>
        <w:ind w:left="1060"/>
        <w:spacing w:after="0"/>
        <w:rPr>
          <w:sz w:val="20"/>
          <w:szCs w:val="20"/>
          <w:color w:val="auto"/>
        </w:rPr>
      </w:pPr>
      <w:r>
        <w:rPr>
          <w:rFonts w:ascii="Courier New" w:cs="Courier New" w:eastAsia="Courier New" w:hAnsi="Courier New"/>
          <w:sz w:val="18"/>
          <w:szCs w:val="18"/>
          <w:color w:val="auto"/>
        </w:rPr>
        <w:t>Avon Lake, OH 44012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Name of Person Filing and Address of Principal Business Office:</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AllianceBernstein L.P</w:t>
      </w:r>
    </w:p>
    <w:p>
      <w:pPr>
        <w:ind w:left="1060"/>
        <w:spacing w:after="0" w:line="238" w:lineRule="auto"/>
        <w:rPr>
          <w:sz w:val="20"/>
          <w:szCs w:val="20"/>
          <w:color w:val="auto"/>
        </w:rPr>
      </w:pPr>
      <w:r>
        <w:rPr>
          <w:rFonts w:ascii="Courier New" w:cs="Courier New" w:eastAsia="Courier New" w:hAnsi="Courier New"/>
          <w:sz w:val="18"/>
          <w:szCs w:val="18"/>
          <w:color w:val="auto"/>
        </w:rPr>
        <w:t>1345 Avenue of the Americas</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NewYork, N.Y.</w:t>
      </w:r>
      <w:r>
        <w:rPr>
          <w:sz w:val="20"/>
          <w:szCs w:val="20"/>
          <w:color w:val="auto"/>
        </w:rPr>
        <w:tab/>
      </w:r>
      <w:r>
        <w:rPr>
          <w:rFonts w:ascii="Courier New" w:cs="Courier New" w:eastAsia="Courier New" w:hAnsi="Courier New"/>
          <w:sz w:val="16"/>
          <w:szCs w:val="16"/>
          <w:color w:val="auto"/>
        </w:rPr>
        <w:t>10105</w:t>
      </w:r>
    </w:p>
    <w:p>
      <w:pPr>
        <w:spacing w:after="0" w:line="200" w:lineRule="exact"/>
        <w:rPr>
          <w:sz w:val="20"/>
          <w:szCs w:val="20"/>
          <w:color w:val="auto"/>
        </w:rPr>
      </w:pPr>
    </w:p>
    <w:p>
      <w:pPr>
        <w:spacing w:after="0" w:line="209" w:lineRule="exact"/>
        <w:rPr>
          <w:sz w:val="20"/>
          <w:szCs w:val="20"/>
          <w:color w:val="auto"/>
        </w:rPr>
      </w:pPr>
    </w:p>
    <w:p>
      <w:pPr>
        <w:jc w:val="both"/>
        <w:ind w:left="120" w:right="2419"/>
        <w:spacing w:after="0" w:line="236" w:lineRule="auto"/>
        <w:rPr>
          <w:sz w:val="20"/>
          <w:szCs w:val="20"/>
          <w:color w:val="auto"/>
        </w:rPr>
      </w:pPr>
      <w:r>
        <w:rPr>
          <w:rFonts w:ascii="Courier New" w:cs="Courier New" w:eastAsia="Courier New" w:hAnsi="Courier New"/>
          <w:sz w:val="18"/>
          <w:szCs w:val="18"/>
          <w:color w:val="auto"/>
        </w:rPr>
        <w:t>(All media outlets, please contact Andrea Prochniak at AllianceBernstein (212-756-4542) with any questions. All other questions can be directed to Section13USFilings@alliancebernstein.com.)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10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2(d) Title of Class of Securities:</w:t>
      </w:r>
      <w:r>
        <w:rPr>
          <w:sz w:val="20"/>
          <w:szCs w:val="20"/>
          <w:color w:val="auto"/>
        </w:rPr>
        <w:tab/>
      </w:r>
      <w:r>
        <w:rPr>
          <w:rFonts w:ascii="Courier New" w:cs="Courier New" w:eastAsia="Courier New" w:hAnsi="Courier New"/>
          <w:sz w:val="16"/>
          <w:szCs w:val="16"/>
          <w:color w:val="auto"/>
        </w:rPr>
        <w:t>COM NEW</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2(e) Cusip Number:</w:t>
      </w:r>
      <w:r>
        <w:rPr>
          <w:sz w:val="20"/>
          <w:szCs w:val="20"/>
          <w:color w:val="auto"/>
        </w:rPr>
        <w:tab/>
      </w:r>
      <w:r>
        <w:rPr>
          <w:rFonts w:ascii="Courier New" w:cs="Courier New" w:eastAsia="Courier New" w:hAnsi="Courier New"/>
          <w:sz w:val="16"/>
          <w:szCs w:val="16"/>
          <w:color w:val="auto"/>
        </w:rPr>
        <w:t>73179P106</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 w:leader="none" w:pos="3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Registered Investment Advisor</w:t>
      </w:r>
    </w:p>
    <w:p>
      <w:pPr>
        <w:sectPr>
          <w:pgSz w:w="11900" w:h="16838" w:orient="portrait"/>
          <w:cols w:equalWidth="0" w:num="1">
            <w:col w:w="10219"/>
          </w:cols>
          <w:pgMar w:left="240" w:top="717" w:right="1440" w:bottom="1440" w:gutter="0" w:footer="0" w:header="0"/>
        </w:sectPr>
      </w:pPr>
    </w:p>
    <w:bookmarkStart w:id="3" w:name="page4"/>
    <w:bookmarkEnd w:id="3"/>
    <w:p>
      <w:pPr>
        <w:ind w:left="3700"/>
        <w:spacing w:after="0"/>
        <w:tabs>
          <w:tab w:leader="none" w:pos="63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as of 12/31/2012</w:t>
      </w:r>
    </w:p>
    <w:p>
      <w:pPr>
        <w:spacing w:after="0" w:line="207" w:lineRule="exact"/>
        <w:rPr>
          <w:sz w:val="20"/>
          <w:szCs w:val="20"/>
          <w:color w:val="auto"/>
        </w:rPr>
      </w:pPr>
    </w:p>
    <w:p>
      <w:pPr>
        <w:ind w:left="1060" w:right="2739" w:hanging="420"/>
        <w:spacing w:after="0" w:line="236"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3,398,082 shares of common stock acquired solely for investment purposes on behalf of client discretionary investment advisory accounts*</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3.8%</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Deemed Voting Power and Disposition Power: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(iii)</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Deemed</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to have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Power</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to Vote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or to</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AllianceBernstein</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2,987,882</w:t>
            </w:r>
          </w:p>
        </w:tc>
        <w:tc>
          <w:tcPr>
            <w:tcW w:w="10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3,289,242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108,840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*AllianceBernstein L.P. is a majority owned subsidiary of AXA Financial, Inc. and an indirect majority owned subsidiary of AXA SA. AllianceBernstein operates under independent management and makes independent decisions from AXA and AXA Financial and their respective subsidiaries and AXA and AXA Financial calculate and report beneficial ownership separately from AllianceBernstein pursuant to guidance provided by the Securities and Exchange Commission in Release Number 34-39538 (January 12, 1998).</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AllianceBernstein may be deemed to share beneficial ownership with AXA reporting persons by virtue of 108,840 shares of common stock acquired on behalf of the general and special accounts of the affiliated entities for which AllianceBernstein serves as a subadvisor. Each of AllianceBernstein and the AXA entities reporting herein acquired their shares of common stock for investment purposes in the ordinary course of their investment management and insurance businesses.</w:t>
      </w:r>
    </w:p>
    <w:p>
      <w:pPr>
        <w:sectPr>
          <w:pgSz w:w="11900" w:h="16838" w:orient="portrait"/>
          <w:cols w:equalWidth="0" w:num="1">
            <w:col w:w="10219"/>
          </w:cols>
          <w:pgMar w:left="240" w:top="514" w:right="1440" w:bottom="1440" w:gutter="0" w:footer="0" w:header="0"/>
        </w:sectPr>
      </w:pPr>
    </w:p>
    <w:bookmarkStart w:id="4" w:name="page5"/>
    <w:bookmarkEnd w:id="4"/>
    <w:p>
      <w:pPr>
        <w:ind w:left="6440"/>
        <w:spacing w:after="0"/>
        <w:rPr>
          <w:sz w:val="20"/>
          <w:szCs w:val="20"/>
          <w:color w:val="auto"/>
        </w:rPr>
      </w:pPr>
      <w:r>
        <w:rPr>
          <w:rFonts w:ascii="Courier New" w:cs="Courier New" w:eastAsia="Courier New" w:hAnsi="Courier New"/>
          <w:sz w:val="18"/>
          <w:szCs w:val="18"/>
          <w:color w:val="auto"/>
        </w:rPr>
        <w:t>Page 5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this statement is being filed to report the fact that as of the date</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hereof the reporting person has ceased to be the beneficial owner of</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more than five percent of the class of securities, check the following.</w:t>
      </w:r>
    </w:p>
    <w:p>
      <w:pPr>
        <w:spacing w:after="0" w:line="218"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[X]</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7600" w:space="200"/>
            <w:col w:w="2419"/>
          </w:cols>
          <w:pgMar w:left="240" w:top="717" w:right="1440" w:bottom="1440" w:gutter="0" w:footer="0" w:header="0"/>
          <w:type w:val="continuous"/>
        </w:sectPr>
      </w:pPr>
    </w:p>
    <w:p>
      <w:pPr>
        <w:spacing w:after="0" w:line="24" w:lineRule="exact"/>
        <w:rPr>
          <w:sz w:val="20"/>
          <w:szCs w:val="20"/>
          <w:color w:val="auto"/>
        </w:rPr>
      </w:pPr>
    </w:p>
    <w:p>
      <w:pPr>
        <w:ind w:left="860"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54" w:lineRule="exact"/>
        <w:rPr>
          <w:sz w:val="20"/>
          <w:szCs w:val="20"/>
          <w:color w:val="auto"/>
        </w:rPr>
      </w:pPr>
    </w:p>
    <w:p>
      <w:pPr>
        <w:sectPr>
          <w:pgSz w:w="11900" w:h="16838" w:orient="portrait"/>
          <w:cols w:equalWidth="0" w:num="2">
            <w:col w:w="7800" w:space="0"/>
            <w:col w:w="2419"/>
          </w:cols>
          <w:pgMar w:left="240" w:top="717" w:right="1440"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6960" w:space="640"/>
            <w:col w:w="26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740" w:space="220"/>
            <w:col w:w="5920" w:space="720"/>
            <w:col w:w="261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2013, ALLIANCEBERNSTEIN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Laurence Bertan</w:t>
      </w:r>
    </w:p>
    <w:p>
      <w:pPr>
        <w:spacing w:after="0" w:line="201" w:lineRule="exact"/>
        <w:rPr>
          <w:sz w:val="20"/>
          <w:szCs w:val="20"/>
          <w:color w:val="auto"/>
        </w:rPr>
      </w:pPr>
    </w:p>
    <w:p>
      <w:pPr>
        <w:ind w:left="2960"/>
        <w:spacing w:after="0"/>
        <w:tabs>
          <w:tab w:leader="none" w:pos="3680" w:val="left"/>
        </w:tabs>
        <w:rPr>
          <w:sz w:val="20"/>
          <w:szCs w:val="20"/>
          <w:color w:val="auto"/>
        </w:rPr>
      </w:pPr>
      <w:r>
        <w:rPr>
          <w:rFonts w:ascii="Courier New" w:cs="Courier New" w:eastAsia="Courier New" w:hAnsi="Courier New"/>
          <w:sz w:val="18"/>
          <w:szCs w:val="18"/>
          <w:color w:val="auto"/>
        </w:rPr>
        <w:t>Name:</w:t>
        <w:tab/>
        <w:t>Laurence Bertan</w:t>
      </w:r>
    </w:p>
    <w:p>
      <w:pPr>
        <w:ind w:left="2960"/>
        <w:spacing w:after="0" w:line="238" w:lineRule="auto"/>
        <w:rPr>
          <w:sz w:val="20"/>
          <w:szCs w:val="20"/>
          <w:color w:val="auto"/>
        </w:rPr>
      </w:pPr>
      <w:r>
        <w:rPr>
          <w:rFonts w:ascii="Courier New" w:cs="Courier New" w:eastAsia="Courier New" w:hAnsi="Courier New"/>
          <w:sz w:val="18"/>
          <w:szCs w:val="18"/>
          <w:color w:val="auto"/>
        </w:rPr>
        <w:t>Title: SVP and Head of Regulatory Reporting</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X"/>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12"/>
    </w:lvl>
    <w:lvl w:ilvl="1">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2019-12-07T00:47:45Z</dcterms:created>
  <dcterms:modified xsi:type="dcterms:W3CDTF">2019-12-07T00:47:45Z</dcterms:modified>
</cp:coreProperties>
</file>