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339"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PolyOne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84"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73179P106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2" w:lineRule="exact"/>
        <w:rPr>
          <w:sz w:val="24"/>
          <w:szCs w:val="24"/>
          <w:color w:val="auto"/>
        </w:rPr>
      </w:pPr>
    </w:p>
    <w:p>
      <w:pPr>
        <w:ind w:left="2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EXPLANATORY NOTE</w:t>
      </w:r>
    </w:p>
    <w:p>
      <w:pPr>
        <w:spacing w:after="0" w:line="171"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This Schedule 13G is filed by Wells Fargo &amp; Company on its own behalf and on behalf of any subsidiaries listed on Attachment A. Aggregate beneficial ownership reported by Wells Fargo &amp; Company under Item 9 on page 2 is on a consolidated basis and includes any beneficial ownership separately reported herein by a subsidiary.</w:t>
      </w:r>
    </w:p>
    <w:p>
      <w:pPr>
        <w:sectPr>
          <w:pgSz w:w="11900" w:h="16838" w:orient="portrait"/>
          <w:cols w:equalWidth="0" w:num="1">
            <w:col w:w="11340"/>
          </w:cols>
          <w:pgMar w:left="240" w:top="219"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CUSIP NO. 73179P106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Wells Fargo &amp; Company</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Tax Identification No. 41-0449260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 CITIZENSHIP OR PLACE OF ORGANIZATION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5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85"/>
        </w:trPr>
        <w:tc>
          <w:tcPr>
            <w:tcW w:w="15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89"/>
              </w:rPr>
              <w:t>SHARES</w:t>
            </w:r>
          </w:p>
        </w:tc>
        <w:tc>
          <w:tcPr>
            <w:tcW w:w="38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00" w:type="dxa"/>
            <w:vAlign w:val="bottom"/>
            <w:vMerge w:val="continue"/>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38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5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50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80" w:type="dxa"/>
            <w:vAlign w:val="bottom"/>
            <w:tcBorders>
              <w:bottom w:val="single" w:sz="8" w:color="auto"/>
            </w:tcBorders>
          </w:tcPr>
          <w:p>
            <w:pPr>
              <w:spacing w:after="0"/>
              <w:rPr>
                <w:sz w:val="18"/>
                <w:szCs w:val="18"/>
                <w:color w:val="auto"/>
              </w:rPr>
            </w:pPr>
          </w:p>
        </w:tc>
        <w:tc>
          <w:tcPr>
            <w:tcW w:w="9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1"/>
              </w:rPr>
              <w:t>EACH</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7</w:t>
            </w:r>
          </w:p>
        </w:tc>
        <w:tc>
          <w:tcPr>
            <w:tcW w:w="9540" w:type="dxa"/>
            <w:vAlign w:val="bottom"/>
          </w:tcPr>
          <w:p>
            <w:pPr>
              <w:ind w:left="8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38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86"/>
              </w:rPr>
              <w:t>PERSON</w:t>
            </w:r>
          </w:p>
        </w:tc>
        <w:tc>
          <w:tcPr>
            <w:tcW w:w="38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00" w:type="dxa"/>
            <w:vAlign w:val="bottom"/>
            <w:vMerge w:val="continue"/>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3"/>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jc w:val="center"/>
        <w:ind w:right="4660"/>
        <w:spacing w:after="0"/>
        <w:rPr>
          <w:sz w:val="20"/>
          <w:szCs w:val="20"/>
          <w:color w:val="auto"/>
        </w:rPr>
      </w:pPr>
      <w:r>
        <w:rPr>
          <w:rFonts w:ascii="Arial" w:cs="Arial" w:eastAsia="Arial" w:hAnsi="Arial"/>
          <w:sz w:val="16"/>
          <w:szCs w:val="16"/>
          <w:color w:val="auto"/>
        </w:rPr>
        <w:t>9 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10 CHECK IF THE AGGREGATE AMOUNT IN ROW (9) EXCLUDES CERTAIN SHARES</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11 PERCENT OF CLASS REPRESENTED BY AMOUNT IN ROW 9</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Five percent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CUSIP NO. 73179P106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Wells Capital Management Incorporated</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Federal ID No. 95-3692822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84"/>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 CITIZENSHIP OR PLACE OF ORGANIZATION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California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5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85"/>
        </w:trPr>
        <w:tc>
          <w:tcPr>
            <w:tcW w:w="15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89"/>
              </w:rPr>
              <w:t>SHARES</w:t>
            </w:r>
          </w:p>
        </w:tc>
        <w:tc>
          <w:tcPr>
            <w:tcW w:w="38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00" w:type="dxa"/>
            <w:vAlign w:val="bottom"/>
            <w:vMerge w:val="continue"/>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38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5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50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80" w:type="dxa"/>
            <w:vAlign w:val="bottom"/>
            <w:tcBorders>
              <w:bottom w:val="single" w:sz="8" w:color="auto"/>
            </w:tcBorders>
          </w:tcPr>
          <w:p>
            <w:pPr>
              <w:spacing w:after="0"/>
              <w:rPr>
                <w:sz w:val="18"/>
                <w:szCs w:val="18"/>
                <w:color w:val="auto"/>
              </w:rPr>
            </w:pPr>
          </w:p>
        </w:tc>
        <w:tc>
          <w:tcPr>
            <w:tcW w:w="9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1"/>
              </w:rPr>
              <w:t>EACH</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7</w:t>
            </w:r>
          </w:p>
        </w:tc>
        <w:tc>
          <w:tcPr>
            <w:tcW w:w="9540" w:type="dxa"/>
            <w:vAlign w:val="bottom"/>
          </w:tcPr>
          <w:p>
            <w:pPr>
              <w:ind w:left="8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38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86"/>
              </w:rPr>
              <w:t>PERSON</w:t>
            </w:r>
          </w:p>
        </w:tc>
        <w:tc>
          <w:tcPr>
            <w:tcW w:w="38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00" w:type="dxa"/>
            <w:vAlign w:val="bottom"/>
            <w:vMerge w:val="continue"/>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3"/>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jc w:val="center"/>
        <w:ind w:right="4660"/>
        <w:spacing w:after="0"/>
        <w:rPr>
          <w:sz w:val="20"/>
          <w:szCs w:val="20"/>
          <w:color w:val="auto"/>
        </w:rPr>
      </w:pPr>
      <w:r>
        <w:rPr>
          <w:rFonts w:ascii="Arial" w:cs="Arial" w:eastAsia="Arial" w:hAnsi="Arial"/>
          <w:sz w:val="16"/>
          <w:szCs w:val="16"/>
          <w:color w:val="auto"/>
        </w:rPr>
        <w:t>9 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10 CHECK IF THE AGGREGATE AMOUNT IN ROW (9) EXCLUDES CERTAIN SHARES</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11 PERCENT OF CLASS REPRESENTED BY AMOUNT IN ROW 9</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Five percent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No. 1)</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DISCLAIMER: </w:t>
      </w:r>
      <w:r>
        <w:rPr>
          <w:rFonts w:ascii="Arial" w:cs="Arial" w:eastAsia="Arial" w:hAnsi="Arial"/>
          <w:sz w:val="18"/>
          <w:szCs w:val="18"/>
          <w:color w:val="auto"/>
        </w:rPr>
        <w:t>Information in this Schedule 13G is provided solely for the purpose of complying with Sections 13(d) and 13(g) of the Act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 and is not to be construed as an admission that Wells Fargo &amp; Company or any of its subsidiaries is the beneficial owner of the securities covered by this Schedule 13G for any purpose whatsoever.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Name of Issuer:</w:t>
            </w:r>
          </w:p>
        </w:tc>
      </w:tr>
      <w:tr>
        <w:trPr>
          <w:trHeight w:val="29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PolyOne Corp.</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Address of Issuer’s Principal Executive Offices:</w:t>
            </w:r>
          </w:p>
        </w:tc>
      </w:tr>
      <w:tr>
        <w:trPr>
          <w:trHeight w:val="291"/>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33587 Walker Road</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PolyOne Center</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Avon Lake, OH 44012</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Name of Person Filing:</w:t>
            </w:r>
          </w:p>
        </w:tc>
      </w:tr>
      <w:tr>
        <w:trPr>
          <w:trHeight w:val="291"/>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Wells Fargo &amp; Company</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Wells Capital Management Incorporated</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w w:val="88"/>
              </w:rPr>
              <w:t>Address of Principal Business Office or, if None, Residence:</w:t>
            </w:r>
          </w:p>
        </w:tc>
      </w:tr>
      <w:tr>
        <w:trPr>
          <w:trHeight w:val="291"/>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1.</w:t>
            </w:r>
          </w:p>
        </w:tc>
        <w:tc>
          <w:tcPr>
            <w:tcW w:w="4000" w:type="dxa"/>
            <w:vAlign w:val="bottom"/>
          </w:tcPr>
          <w:p>
            <w:pPr>
              <w:ind w:left="120"/>
              <w:spacing w:after="0"/>
              <w:rPr>
                <w:sz w:val="20"/>
                <w:szCs w:val="20"/>
                <w:color w:val="auto"/>
              </w:rPr>
            </w:pPr>
            <w:r>
              <w:rPr>
                <w:rFonts w:ascii="Arial" w:cs="Arial" w:eastAsia="Arial" w:hAnsi="Arial"/>
                <w:sz w:val="18"/>
                <w:szCs w:val="18"/>
                <w:color w:val="auto"/>
              </w:rPr>
              <w:t>Wells Fargo &amp; Company</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420 Montgomery Street</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San Francisco, CA 94104</w:t>
            </w:r>
          </w:p>
        </w:tc>
      </w:tr>
      <w:tr>
        <w:trPr>
          <w:trHeight w:val="291"/>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2.</w:t>
            </w:r>
          </w:p>
        </w:tc>
        <w:tc>
          <w:tcPr>
            <w:tcW w:w="4000" w:type="dxa"/>
            <w:vAlign w:val="bottom"/>
          </w:tcPr>
          <w:p>
            <w:pPr>
              <w:ind w:left="120"/>
              <w:spacing w:after="0"/>
              <w:rPr>
                <w:sz w:val="20"/>
                <w:szCs w:val="20"/>
                <w:color w:val="auto"/>
              </w:rPr>
            </w:pPr>
            <w:r>
              <w:rPr>
                <w:rFonts w:ascii="Arial" w:cs="Arial" w:eastAsia="Arial" w:hAnsi="Arial"/>
                <w:sz w:val="18"/>
                <w:szCs w:val="18"/>
                <w:color w:val="auto"/>
              </w:rPr>
              <w:t>Wells Capital Management Incorporated</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525 Market Street</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San Francisco, CA 94105</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(c)</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Citizenship:</w:t>
            </w:r>
          </w:p>
        </w:tc>
      </w:tr>
      <w:tr>
        <w:trPr>
          <w:trHeight w:val="291"/>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1.</w:t>
            </w:r>
          </w:p>
        </w:tc>
        <w:tc>
          <w:tcPr>
            <w:tcW w:w="4000" w:type="dxa"/>
            <w:vAlign w:val="bottom"/>
          </w:tcPr>
          <w:p>
            <w:pPr>
              <w:ind w:left="120"/>
              <w:spacing w:after="0"/>
              <w:rPr>
                <w:sz w:val="20"/>
                <w:szCs w:val="20"/>
                <w:color w:val="auto"/>
              </w:rPr>
            </w:pPr>
            <w:r>
              <w:rPr>
                <w:rFonts w:ascii="Arial" w:cs="Arial" w:eastAsia="Arial" w:hAnsi="Arial"/>
                <w:sz w:val="18"/>
                <w:szCs w:val="18"/>
                <w:color w:val="auto"/>
              </w:rPr>
              <w:t>Wells Fargo &amp; Company: Delaware</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2.</w:t>
            </w:r>
          </w:p>
        </w:tc>
        <w:tc>
          <w:tcPr>
            <w:tcW w:w="4000" w:type="dxa"/>
            <w:vAlign w:val="bottom"/>
          </w:tcPr>
          <w:p>
            <w:pPr>
              <w:ind w:left="120"/>
              <w:spacing w:after="0"/>
              <w:rPr>
                <w:sz w:val="20"/>
                <w:szCs w:val="20"/>
                <w:color w:val="auto"/>
              </w:rPr>
            </w:pPr>
            <w:r>
              <w:rPr>
                <w:rFonts w:ascii="Arial" w:cs="Arial" w:eastAsia="Arial" w:hAnsi="Arial"/>
                <w:sz w:val="18"/>
                <w:szCs w:val="18"/>
                <w:color w:val="auto"/>
                <w:w w:val="94"/>
              </w:rPr>
              <w:t>Wells Capital Management Incorporated: California</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(d)</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Title of Class of Securities:</w:t>
            </w:r>
          </w:p>
        </w:tc>
      </w:tr>
      <w:tr>
        <w:trPr>
          <w:trHeight w:val="29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Common Stock</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(e)</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CUSIP Number:</w:t>
            </w:r>
          </w:p>
        </w:tc>
      </w:tr>
      <w:tr>
        <w:trPr>
          <w:trHeight w:val="29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73179P106</w:t>
            </w:r>
          </w:p>
        </w:tc>
      </w:tr>
    </w:tbl>
    <w:p>
      <w:pPr>
        <w:spacing w:after="0" w:line="1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The person filing is a:</w:t>
      </w:r>
    </w:p>
    <w:p>
      <w:pPr>
        <w:spacing w:after="0" w:line="117" w:lineRule="exact"/>
        <w:rPr>
          <w:sz w:val="20"/>
          <w:szCs w:val="20"/>
          <w:color w:val="auto"/>
        </w:rPr>
      </w:pPr>
    </w:p>
    <w:p>
      <w:pPr>
        <w:ind w:left="1000" w:hanging="29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Wells Fargo &amp; Company: Parent Holding Company in accordance with 240.13d-1(b)(1)(ii)(G)</w:t>
      </w:r>
    </w:p>
    <w:p>
      <w:pPr>
        <w:spacing w:after="0" w:line="117" w:lineRule="exact"/>
        <w:rPr>
          <w:rFonts w:ascii="Arial" w:cs="Arial" w:eastAsia="Arial" w:hAnsi="Arial"/>
          <w:sz w:val="18"/>
          <w:szCs w:val="18"/>
          <w:color w:val="auto"/>
        </w:rPr>
      </w:pPr>
    </w:p>
    <w:p>
      <w:pPr>
        <w:ind w:left="5680" w:right="1760" w:hanging="4970"/>
        <w:spacing w:after="0" w:line="440" w:lineRule="auto"/>
        <w:tabs>
          <w:tab w:leader="none" w:pos="1017" w:val="left"/>
        </w:tabs>
        <w:numPr>
          <w:ilvl w:val="0"/>
          <w:numId w:val="8"/>
        </w:numPr>
        <w:rPr>
          <w:rFonts w:ascii="Arial" w:cs="Arial" w:eastAsia="Arial" w:hAnsi="Arial"/>
          <w:sz w:val="18"/>
          <w:szCs w:val="18"/>
          <w:color w:val="auto"/>
        </w:rPr>
      </w:pPr>
      <w:r>
        <w:rPr>
          <w:rFonts w:ascii="Arial" w:cs="Arial" w:eastAsia="Arial" w:hAnsi="Arial"/>
          <w:sz w:val="18"/>
          <w:szCs w:val="18"/>
          <w:color w:val="auto"/>
        </w:rPr>
        <w:t>Wells Capital Management Incorporated: Registered Investment Advisor in accordance with Regulation 13d-1(b)(1)(ii)(E) 4</w:t>
      </w:r>
    </w:p>
    <w:p>
      <w:pPr>
        <w:sectPr>
          <w:pgSz w:w="11900" w:h="16838" w:orient="portrait"/>
          <w:cols w:equalWidth="0" w:num="1">
            <w:col w:w="11380"/>
          </w:cols>
          <w:pgMar w:left="240" w:top="280" w:right="279" w:bottom="1440" w:gutter="0" w:footer="0" w:header="0"/>
        </w:sectPr>
      </w:pPr>
    </w:p>
    <w:bookmarkStart w:id="4" w:name="page5"/>
    <w:bookmarkEnd w:id="4"/>
    <w:p>
      <w:pPr>
        <w:spacing w:after="0"/>
        <w:tabs>
          <w:tab w:leader="none" w:pos="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color w:val="auto"/>
        </w:rPr>
        <w:t>Ownership:</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90" w:lineRule="exact"/>
        <w:rPr>
          <w:sz w:val="20"/>
          <w:szCs w:val="20"/>
          <w:color w:val="auto"/>
        </w:rPr>
      </w:pPr>
    </w:p>
    <w:p>
      <w:pPr>
        <w:ind w:left="720" w:right="319"/>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31" w:lineRule="exact"/>
        <w:rPr>
          <w:sz w:val="20"/>
          <w:szCs w:val="20"/>
          <w:color w:val="auto"/>
        </w:rPr>
      </w:pPr>
    </w:p>
    <w:p>
      <w:pPr>
        <w:ind w:left="720" w:right="959" w:hanging="701"/>
        <w:spacing w:after="0" w:line="268" w:lineRule="auto"/>
        <w:tabs>
          <w:tab w:leader="none" w:pos="700" w:val="left"/>
        </w:tabs>
        <w:rPr>
          <w:sz w:val="20"/>
          <w:szCs w:val="20"/>
          <w:color w:val="auto"/>
        </w:rPr>
      </w:pPr>
      <w:r>
        <w:rPr>
          <w:rFonts w:ascii="Arial" w:cs="Arial" w:eastAsia="Arial" w:hAnsi="Arial"/>
          <w:sz w:val="18"/>
          <w:szCs w:val="18"/>
          <w:color w:val="auto"/>
        </w:rPr>
        <w:t>Item 7</w:t>
        <w:tab/>
        <w:t>Identification and Classification of the Subsidiary Which Acquired the Security Being Reported on by the Parent Holding Company:</w:t>
      </w:r>
    </w:p>
    <w:p>
      <w:pPr>
        <w:spacing w:after="0" w:line="5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Attachment A</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38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13, 2006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WELLS FARGO &amp; COMPANY</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B. Kraske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10795</wp:posOffset>
            </wp:positionV>
            <wp:extent cx="28555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 B. Kraske,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VP Trust Operations Management Support Services</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240" w:top="280" w:right="819" w:bottom="1440" w:gutter="0" w:footer="0" w:header="0"/>
        </w:sectPr>
      </w:pPr>
    </w:p>
    <w:bookmarkStart w:id="6" w:name="page7"/>
    <w:bookmarkEnd w:id="6"/>
    <w:p>
      <w:pPr>
        <w:ind w:left="50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Schedule 13G to which this attachment is appended is filed by Wells Fargo &amp; Company on behalf of the following subsidiaries: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Capital Management Incorporated (1)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Funds Management, LLC (1)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600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Classified as a registered investment advisor in accordance with Regulation 13d-1(b)(1)(ii)(E).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Classified as a bank in accordance with Regulation 13d-1(b)(1)(ii)(B).</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lvl w:ilvl="1">
      <w:lvlJc w:val="left"/>
      <w:lvlText w:val="(%2)"/>
      <w:numFmt w:val="lowerLetter"/>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2"/>
      <w:numFmt w:val="bullet"/>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2019-12-15T02:44:54Z</dcterms:created>
  <dcterms:modified xsi:type="dcterms:W3CDTF">2019-12-15T02:44:54Z</dcterms:modified>
</cp:coreProperties>
</file>