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177165</wp:posOffset>
            </wp:positionV>
            <wp:extent cx="13627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78105</wp:posOffset>
            </wp:positionV>
            <wp:extent cx="32315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105410</wp:posOffset>
            </wp:positionV>
            <wp:extent cx="3231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Avient Corporation</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4445</wp:posOffset>
            </wp:positionV>
            <wp:extent cx="3231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14" w:lineRule="exact"/>
        <w:rPr>
          <w:sz w:val="24"/>
          <w:szCs w:val="24"/>
          <w:color w:val="auto"/>
        </w:rPr>
      </w:pPr>
    </w:p>
    <w:tbl>
      <w:tblPr>
        <w:tblLayout w:type="fixed"/>
        <w:tblInd w:w="2840" w:type="dxa"/>
        <w:tblCellMar>
          <w:top w:w="0" w:type="dxa"/>
          <w:left w:w="0" w:type="dxa"/>
          <w:bottom w:w="0" w:type="dxa"/>
          <w:right w:w="0" w:type="dxa"/>
        </w:tblCellMar>
      </w:tblPr>
      <w:tr>
        <w:trPr>
          <w:trHeight w:val="238"/>
        </w:trPr>
        <w:tc>
          <w:tcPr>
            <w:tcW w:w="18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86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1-16091</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18"/>
                <w:szCs w:val="18"/>
                <w:b w:val="1"/>
                <w:bCs w:val="1"/>
                <w:color w:val="auto"/>
                <w:w w:val="98"/>
              </w:rPr>
              <w:t>34-1730488</w:t>
            </w:r>
          </w:p>
        </w:tc>
        <w:tc>
          <w:tcPr>
            <w:tcW w:w="0" w:type="dxa"/>
            <w:vAlign w:val="bottom"/>
          </w:tcPr>
          <w:p>
            <w:pPr>
              <w:spacing w:after="0"/>
              <w:rPr>
                <w:sz w:val="1"/>
                <w:szCs w:val="1"/>
                <w:color w:val="auto"/>
              </w:rPr>
            </w:pPr>
          </w:p>
        </w:tc>
      </w:tr>
      <w:tr>
        <w:trPr>
          <w:trHeight w:val="288"/>
        </w:trPr>
        <w:tc>
          <w:tcPr>
            <w:tcW w:w="186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14"/>
                <w:szCs w:val="14"/>
                <w:color w:val="auto"/>
              </w:rPr>
              <w:t>(IRS Employer Identification</w:t>
            </w:r>
          </w:p>
        </w:tc>
        <w:tc>
          <w:tcPr>
            <w:tcW w:w="0" w:type="dxa"/>
            <w:vAlign w:val="bottom"/>
          </w:tcPr>
          <w:p>
            <w:pPr>
              <w:spacing w:after="0"/>
              <w:rPr>
                <w:sz w:val="1"/>
                <w:szCs w:val="1"/>
                <w:color w:val="auto"/>
              </w:rPr>
            </w:pPr>
          </w:p>
        </w:tc>
      </w:tr>
      <w:tr>
        <w:trPr>
          <w:trHeight w:val="188"/>
        </w:trPr>
        <w:tc>
          <w:tcPr>
            <w:tcW w:w="1860" w:type="dxa"/>
            <w:vAlign w:val="bottom"/>
          </w:tcPr>
          <w:p>
            <w:pPr>
              <w:jc w:val="center"/>
              <w:ind w:right="42"/>
              <w:spacing w:after="0"/>
              <w:rPr>
                <w:sz w:val="20"/>
                <w:szCs w:val="20"/>
                <w:color w:val="auto"/>
              </w:rPr>
            </w:pPr>
            <w:r>
              <w:rPr>
                <w:rFonts w:ascii="Times New Roman" w:cs="Times New Roman" w:eastAsia="Times New Roman" w:hAnsi="Times New Roman"/>
                <w:sz w:val="14"/>
                <w:szCs w:val="14"/>
                <w:color w:val="auto"/>
              </w:rPr>
              <w:t>Incorporation)</w:t>
            </w:r>
          </w:p>
        </w:tc>
        <w:tc>
          <w:tcPr>
            <w:tcW w:w="1860" w:type="dxa"/>
            <w:vAlign w:val="bottom"/>
            <w:vMerge w:val="continue"/>
          </w:tcPr>
          <w:p>
            <w:pPr>
              <w:spacing w:after="0"/>
              <w:rPr>
                <w:sz w:val="16"/>
                <w:szCs w:val="16"/>
                <w:color w:val="auto"/>
              </w:rPr>
            </w:pP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bl>
    <w:p>
      <w:pPr>
        <w:spacing w:after="0" w:line="3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33587 Walker Road</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Avon Lake, Ohio 44012</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(440) 930-1000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0" w:lineRule="exact"/>
        <w:rPr>
          <w:sz w:val="24"/>
          <w:szCs w:val="24"/>
          <w:color w:val="auto"/>
        </w:rPr>
      </w:pPr>
    </w:p>
    <w:p>
      <w:pPr>
        <w:spacing w:after="0" w:line="22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360" w:hanging="352"/>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360" w:hanging="352"/>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left="360" w:hanging="352"/>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8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36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Common Shares, par value $.01 per share</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AVNT</w:t>
            </w:r>
          </w:p>
        </w:tc>
        <w:tc>
          <w:tcPr>
            <w:tcW w:w="2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92"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75"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2" w:lineRule="exact"/>
        <w:rPr>
          <w:sz w:val="20"/>
          <w:szCs w:val="20"/>
          <w:color w:val="auto"/>
        </w:rPr>
      </w:pPr>
    </w:p>
    <w:p>
      <w:pPr>
        <w:ind w:right="540" w:firstLine="170"/>
        <w:spacing w:after="0" w:line="268" w:lineRule="auto"/>
        <w:rPr>
          <w:sz w:val="20"/>
          <w:szCs w:val="20"/>
          <w:color w:val="auto"/>
        </w:rPr>
      </w:pPr>
      <w:r>
        <w:rPr>
          <w:rFonts w:ascii="Times New Roman" w:cs="Times New Roman" w:eastAsia="Times New Roman" w:hAnsi="Times New Roman"/>
          <w:sz w:val="18"/>
          <w:szCs w:val="18"/>
          <w:color w:val="auto"/>
        </w:rPr>
        <w:t>Avient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Annual Meeting of Shareholders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on May 14, 2026. The final results for the proposals submitted for a vote of shareholders at the Annual Meeting are set forth below. The proposals below are described in more detail in the Company’s definitive proxy statement for the Annual Meeting, filed with the Securities and Exchange Commission on March 27, 2026.</w:t>
      </w:r>
    </w:p>
    <w:p>
      <w:pPr>
        <w:spacing w:after="0" w:line="202" w:lineRule="exact"/>
        <w:rPr>
          <w:sz w:val="20"/>
          <w:szCs w:val="20"/>
          <w:color w:val="auto"/>
        </w:rPr>
      </w:pPr>
    </w:p>
    <w:p>
      <w:pPr>
        <w:ind w:left="340" w:right="280" w:hanging="332"/>
        <w:spacing w:after="0" w:line="271" w:lineRule="auto"/>
        <w:tabs>
          <w:tab w:leader="none" w:pos="3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were nominated in 2026 to serve as directors until the 2027 Annual Meeting of Shareholders. All nominees were elected. The voting results were as follows:</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3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Director Nominee</w:t>
            </w:r>
          </w:p>
        </w:tc>
        <w:tc>
          <w:tcPr>
            <w:tcW w:w="2760" w:type="dxa"/>
            <w:vAlign w:val="bottom"/>
            <w:gridSpan w:val="3"/>
          </w:tcPr>
          <w:p>
            <w:pPr>
              <w:jc w:val="center"/>
              <w:ind w:left="750"/>
              <w:spacing w:after="0" w:line="199"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gridSpan w:val="3"/>
          </w:tcPr>
          <w:p>
            <w:pPr>
              <w:ind w:left="560"/>
              <w:spacing w:after="0" w:line="199" w:lineRule="exact"/>
              <w:rPr>
                <w:sz w:val="20"/>
                <w:szCs w:val="20"/>
                <w:color w:val="auto"/>
              </w:rPr>
            </w:pPr>
            <w:r>
              <w:rPr>
                <w:rFonts w:ascii="Times New Roman" w:cs="Times New Roman" w:eastAsia="Times New Roman" w:hAnsi="Times New Roman"/>
                <w:sz w:val="18"/>
                <w:szCs w:val="18"/>
                <w:b w:val="1"/>
                <w:bCs w:val="1"/>
                <w:color w:val="auto"/>
              </w:rPr>
              <w:t>Withheld</w:t>
            </w:r>
          </w:p>
        </w:tc>
        <w:tc>
          <w:tcPr>
            <w:tcW w:w="2300" w:type="dxa"/>
            <w:vAlign w:val="bottom"/>
            <w:gridSpan w:val="2"/>
          </w:tcPr>
          <w:p>
            <w:pPr>
              <w:jc w:val="center"/>
              <w:ind w:right="920"/>
              <w:spacing w:after="0" w:line="199" w:lineRule="exact"/>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Abernathy</w:t>
            </w:r>
          </w:p>
        </w:tc>
        <w:tc>
          <w:tcPr>
            <w:tcW w:w="276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84,982,114</w:t>
            </w:r>
          </w:p>
        </w:tc>
        <w:tc>
          <w:tcPr>
            <w:tcW w:w="128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476,324</w:t>
            </w:r>
          </w:p>
        </w:tc>
        <w:tc>
          <w:tcPr>
            <w:tcW w:w="15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 Fearon</w:t>
            </w:r>
          </w:p>
        </w:tc>
        <w:tc>
          <w:tcPr>
            <w:tcW w:w="2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79,656,834</w:t>
            </w:r>
          </w:p>
        </w:tc>
        <w:tc>
          <w:tcPr>
            <w:tcW w:w="2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5,801,604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Green</w:t>
            </w:r>
          </w:p>
        </w:tc>
        <w:tc>
          <w:tcPr>
            <w:tcW w:w="276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85,157,663</w:t>
            </w:r>
          </w:p>
        </w:tc>
        <w:tc>
          <w:tcPr>
            <w:tcW w:w="128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300,775</w:t>
            </w:r>
          </w:p>
        </w:tc>
        <w:tc>
          <w:tcPr>
            <w:tcW w:w="15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R. Jellison</w:t>
            </w:r>
          </w:p>
        </w:tc>
        <w:tc>
          <w:tcPr>
            <w:tcW w:w="2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83,910,119</w:t>
            </w:r>
          </w:p>
        </w:tc>
        <w:tc>
          <w:tcPr>
            <w:tcW w:w="2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1,548,319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Ashish K. Khandpur, Ph.D.</w:t>
            </w:r>
          </w:p>
        </w:tc>
        <w:tc>
          <w:tcPr>
            <w:tcW w:w="276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84,252,043</w:t>
            </w:r>
          </w:p>
        </w:tc>
        <w:tc>
          <w:tcPr>
            <w:tcW w:w="2780" w:type="dxa"/>
            <w:vAlign w:val="bottom"/>
            <w:gridSpan w:val="3"/>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color w:val="auto"/>
                <w:w w:val="99"/>
              </w:rPr>
              <w:t>1,206,395</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Beach Lin</w:t>
            </w:r>
          </w:p>
        </w:tc>
        <w:tc>
          <w:tcPr>
            <w:tcW w:w="2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83,668,251</w:t>
            </w:r>
          </w:p>
        </w:tc>
        <w:tc>
          <w:tcPr>
            <w:tcW w:w="2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1,790,187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Kim Ann Mink, Ph.D.</w:t>
            </w:r>
          </w:p>
        </w:tc>
        <w:tc>
          <w:tcPr>
            <w:tcW w:w="276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84,975,972</w:t>
            </w:r>
          </w:p>
        </w:tc>
        <w:tc>
          <w:tcPr>
            <w:tcW w:w="128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482,466</w:t>
            </w:r>
          </w:p>
        </w:tc>
        <w:tc>
          <w:tcPr>
            <w:tcW w:w="15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Ernest Nicolas</w:t>
            </w:r>
          </w:p>
        </w:tc>
        <w:tc>
          <w:tcPr>
            <w:tcW w:w="2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85,157,937</w:t>
            </w:r>
          </w:p>
        </w:tc>
        <w:tc>
          <w:tcPr>
            <w:tcW w:w="12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300,501</w:t>
            </w:r>
          </w:p>
        </w:tc>
        <w:tc>
          <w:tcPr>
            <w:tcW w:w="15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Kerry J. Preete</w:t>
            </w:r>
          </w:p>
        </w:tc>
        <w:tc>
          <w:tcPr>
            <w:tcW w:w="276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82,995,749</w:t>
            </w:r>
          </w:p>
        </w:tc>
        <w:tc>
          <w:tcPr>
            <w:tcW w:w="2780" w:type="dxa"/>
            <w:vAlign w:val="bottom"/>
            <w:gridSpan w:val="3"/>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color w:val="auto"/>
                <w:w w:val="99"/>
              </w:rPr>
              <w:t>2,462,689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Verduin, Ph.D.</w:t>
            </w:r>
          </w:p>
        </w:tc>
        <w:tc>
          <w:tcPr>
            <w:tcW w:w="2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85,031,153</w:t>
            </w:r>
          </w:p>
        </w:tc>
        <w:tc>
          <w:tcPr>
            <w:tcW w:w="12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427,285</w:t>
            </w:r>
          </w:p>
        </w:tc>
        <w:tc>
          <w:tcPr>
            <w:tcW w:w="15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A. Wulfsohn</w:t>
            </w:r>
          </w:p>
        </w:tc>
        <w:tc>
          <w:tcPr>
            <w:tcW w:w="276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83,400,715</w:t>
            </w:r>
          </w:p>
        </w:tc>
        <w:tc>
          <w:tcPr>
            <w:tcW w:w="2780" w:type="dxa"/>
            <w:vAlign w:val="bottom"/>
            <w:gridSpan w:val="3"/>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color w:val="auto"/>
                <w:w w:val="99"/>
              </w:rPr>
              <w:t>2,057,723</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1,998,081</w:t>
            </w:r>
          </w:p>
        </w:tc>
        <w:tc>
          <w:tcPr>
            <w:tcW w:w="92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The shareholders approved, on an advisory basis, the Company’s named executive officer compensation. The voting results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0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3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80,935,972</w:t>
            </w:r>
          </w:p>
        </w:tc>
        <w:tc>
          <w:tcPr>
            <w:tcW w:w="22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4,446,644</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75,822</w:t>
            </w:r>
          </w:p>
        </w:tc>
        <w:tc>
          <w:tcPr>
            <w:tcW w:w="114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1,998,081</w:t>
            </w:r>
          </w:p>
        </w:tc>
        <w:tc>
          <w:tcPr>
            <w:tcW w:w="134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ind w:left="340" w:right="220" w:hanging="332"/>
        <w:spacing w:after="0" w:line="271"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ratified the appointment of Ernst &amp; Young LLP as the Company’s independent registered public accounting firm for the fiscal year ending December 31, 2026. The voting results were as follows:</w:t>
      </w:r>
    </w:p>
    <w:tbl>
      <w:tblPr>
        <w:tblLayout w:type="fixed"/>
        <w:tblInd w:w="0" w:type="dxa"/>
        <w:tblCellMar>
          <w:top w:w="0" w:type="dxa"/>
          <w:left w:w="0" w:type="dxa"/>
          <w:bottom w:w="0" w:type="dxa"/>
          <w:right w:w="0" w:type="dxa"/>
        </w:tblCellMar>
      </w:tblPr>
      <w:tr>
        <w:trPr>
          <w:trHeight w:val="199"/>
        </w:trPr>
        <w:tc>
          <w:tcPr>
            <w:tcW w:w="1700" w:type="dxa"/>
            <w:vAlign w:val="bottom"/>
          </w:tcPr>
          <w:p>
            <w:pPr>
              <w:spacing w:after="0"/>
              <w:rPr>
                <w:sz w:val="17"/>
                <w:szCs w:val="17"/>
                <w:color w:val="auto"/>
              </w:rPr>
            </w:pPr>
          </w:p>
        </w:tc>
        <w:tc>
          <w:tcPr>
            <w:tcW w:w="1900" w:type="dxa"/>
            <w:vAlign w:val="bottom"/>
            <w:gridSpan w:val="2"/>
          </w:tcPr>
          <w:p>
            <w:pPr>
              <w:jc w:val="center"/>
              <w:ind w:right="1620"/>
              <w:spacing w:after="0" w:line="199"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440" w:type="dxa"/>
            <w:vAlign w:val="bottom"/>
          </w:tcPr>
          <w:p>
            <w:pPr>
              <w:spacing w:after="0"/>
              <w:rPr>
                <w:sz w:val="17"/>
                <w:szCs w:val="17"/>
                <w:color w:val="auto"/>
              </w:rPr>
            </w:pPr>
          </w:p>
        </w:tc>
        <w:tc>
          <w:tcPr>
            <w:tcW w:w="2120" w:type="dxa"/>
            <w:vAlign w:val="bottom"/>
            <w:gridSpan w:val="2"/>
          </w:tcPr>
          <w:p>
            <w:pPr>
              <w:jc w:val="center"/>
              <w:ind w:right="1540"/>
              <w:spacing w:after="0" w:line="199" w:lineRule="exact"/>
              <w:rPr>
                <w:sz w:val="20"/>
                <w:szCs w:val="20"/>
                <w:color w:val="auto"/>
              </w:rPr>
            </w:pPr>
            <w:r>
              <w:rPr>
                <w:rFonts w:ascii="Times New Roman" w:cs="Times New Roman" w:eastAsia="Times New Roman" w:hAnsi="Times New Roman"/>
                <w:sz w:val="18"/>
                <w:szCs w:val="18"/>
                <w:b w:val="1"/>
                <w:bCs w:val="1"/>
                <w:color w:val="auto"/>
                <w:w w:val="98"/>
              </w:rPr>
              <w:t>Against</w:t>
            </w:r>
          </w:p>
        </w:tc>
        <w:tc>
          <w:tcPr>
            <w:tcW w:w="4080" w:type="dxa"/>
            <w:vAlign w:val="bottom"/>
            <w:gridSpan w:val="3"/>
          </w:tcPr>
          <w:p>
            <w:pPr>
              <w:jc w:val="center"/>
              <w:ind w:right="180"/>
              <w:spacing w:after="0" w:line="199" w:lineRule="exact"/>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0"/>
        </w:trPr>
        <w:tc>
          <w:tcPr>
            <w:tcW w:w="17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9"/>
        </w:trPr>
        <w:tc>
          <w:tcPr>
            <w:tcW w:w="3600" w:type="dxa"/>
            <w:vAlign w:val="bottom"/>
            <w:gridSpan w:val="3"/>
            <w:shd w:val="clear" w:color="auto" w:fill="CCEEFF"/>
          </w:tcPr>
          <w:p>
            <w:pPr>
              <w:jc w:val="right"/>
              <w:ind w:right="1360"/>
              <w:spacing w:after="0"/>
              <w:rPr>
                <w:sz w:val="20"/>
                <w:szCs w:val="20"/>
                <w:color w:val="auto"/>
              </w:rPr>
            </w:pPr>
            <w:r>
              <w:rPr>
                <w:rFonts w:ascii="Times New Roman" w:cs="Times New Roman" w:eastAsia="Times New Roman" w:hAnsi="Times New Roman"/>
                <w:sz w:val="18"/>
                <w:szCs w:val="18"/>
                <w:color w:val="auto"/>
              </w:rPr>
              <w:t>86,049,990</w:t>
            </w:r>
          </w:p>
        </w:tc>
        <w:tc>
          <w:tcPr>
            <w:tcW w:w="3560" w:type="dxa"/>
            <w:vAlign w:val="bottom"/>
            <w:gridSpan w:val="3"/>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1,363,441</w:t>
            </w:r>
          </w:p>
        </w:tc>
        <w:tc>
          <w:tcPr>
            <w:tcW w:w="2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43,088</w:t>
            </w:r>
          </w:p>
        </w:tc>
        <w:tc>
          <w:tcPr>
            <w:tcW w:w="1680" w:type="dxa"/>
            <w:vAlign w:val="bottom"/>
            <w:shd w:val="clear" w:color="auto" w:fill="CCEEFF"/>
          </w:tcPr>
          <w:p>
            <w:pPr>
              <w:spacing w:after="0"/>
              <w:rPr>
                <w:sz w:val="19"/>
                <w:szCs w:val="19"/>
                <w:color w:val="auto"/>
              </w:rPr>
            </w:pPr>
          </w:p>
        </w:tc>
      </w:tr>
      <w:tr>
        <w:trPr>
          <w:trHeight w:val="2410"/>
        </w:trPr>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AVIENT CORPORATION</w:t>
      </w:r>
    </w:p>
    <w:p>
      <w:pPr>
        <w:spacing w:after="0" w:line="8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By: /s/ Amy M. Sanders</w:t>
      </w:r>
    </w:p>
    <w:p>
      <w:pPr>
        <w:spacing w:after="0" w:line="7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Amy M. Sanders</w:t>
      </w:r>
    </w:p>
    <w:p>
      <w:pPr>
        <w:spacing w:after="0" w:line="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Senior Vice President, General</w:t>
      </w:r>
    </w:p>
    <w:p>
      <w:pPr>
        <w:ind w:left="7260"/>
        <w:spacing w:after="0" w:line="219" w:lineRule="auto"/>
        <w:rPr>
          <w:sz w:val="20"/>
          <w:szCs w:val="20"/>
          <w:color w:val="auto"/>
        </w:rPr>
      </w:pPr>
      <w:r>
        <w:rPr>
          <w:rFonts w:ascii="Times New Roman" w:cs="Times New Roman" w:eastAsia="Times New Roman" w:hAnsi="Times New Roman"/>
          <w:sz w:val="18"/>
          <w:szCs w:val="18"/>
          <w:color w:val="auto"/>
        </w:rPr>
        <w:t>Counsel, Secretary and Corporate</w:t>
      </w:r>
    </w:p>
    <w:p>
      <w:pPr>
        <w:ind w:left="7260"/>
        <w:spacing w:after="0"/>
        <w:rPr>
          <w:sz w:val="20"/>
          <w:szCs w:val="20"/>
          <w:color w:val="auto"/>
        </w:rPr>
      </w:pPr>
      <w:r>
        <w:rPr>
          <w:rFonts w:ascii="Times New Roman" w:cs="Times New Roman" w:eastAsia="Times New Roman" w:hAnsi="Times New Roman"/>
          <w:sz w:val="18"/>
          <w:szCs w:val="18"/>
          <w:color w:val="auto"/>
        </w:rPr>
        <w:t>Ethics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sectPr>
      <w:pgSz w:w="11900" w:h="16838" w:orient="portrait"/>
      <w:cols w:equalWidth="0" w:num="1">
        <w:col w:w="10340"/>
      </w:cols>
      <w:pgMar w:left="320" w:top="144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2026-05-15T09:05:39Z</dcterms:created>
  <dcterms:modified xsi:type="dcterms:W3CDTF">2026-05-15T09:05:39Z</dcterms:modified>
</cp:coreProperties>
</file>