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color w:val="auto"/>
        </w:rPr>
        <w:t>________________________________________________</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6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71" w:lineRule="exact"/>
        <w:rPr>
          <w:sz w:val="24"/>
          <w:szCs w:val="24"/>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80" w:hanging="626"/>
        <w:spacing w:after="0"/>
        <w:tabs>
          <w:tab w:leader="none" w:pos="7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69" w:lineRule="exact"/>
        <w:rPr>
          <w:sz w:val="24"/>
          <w:szCs w:val="24"/>
          <w:color w:val="auto"/>
        </w:rPr>
      </w:pPr>
    </w:p>
    <w:p>
      <w:pPr>
        <w:ind w:left="3780"/>
        <w:spacing w:after="0"/>
        <w:tabs>
          <w:tab w:leader="none" w:pos="66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808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899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1-16091</w:t>
      </w:r>
    </w:p>
    <w:p>
      <w:pPr>
        <w:spacing w:after="0" w:line="81"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AVIENT CORPORATION</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5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13" w:lineRule="exact"/>
        <w:rPr>
          <w:sz w:val="24"/>
          <w:szCs w:val="24"/>
          <w:color w:val="auto"/>
        </w:rPr>
      </w:pPr>
    </w:p>
    <w:tbl>
      <w:tblPr>
        <w:tblLayout w:type="fixed"/>
        <w:tblInd w:w="2300" w:type="dxa"/>
        <w:tblCellMar>
          <w:top w:w="0" w:type="dxa"/>
          <w:left w:w="0" w:type="dxa"/>
          <w:bottom w:w="0" w:type="dxa"/>
          <w:right w:w="0" w:type="dxa"/>
        </w:tblCellMar>
      </w:tblPr>
      <w:tr>
        <w:trPr>
          <w:trHeight w:val="227"/>
        </w:trPr>
        <w:tc>
          <w:tcPr>
            <w:tcW w:w="3420" w:type="dxa"/>
            <w:vAlign w:val="bottom"/>
          </w:tcPr>
          <w:p>
            <w:pPr>
              <w:jc w:val="center"/>
              <w:ind w:right="1078"/>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3220" w:type="dxa"/>
            <w:vAlign w:val="bottom"/>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34-1730488</w:t>
            </w:r>
          </w:p>
        </w:tc>
      </w:tr>
      <w:tr>
        <w:trPr>
          <w:trHeight w:val="190"/>
        </w:trPr>
        <w:tc>
          <w:tcPr>
            <w:tcW w:w="3420" w:type="dxa"/>
            <w:vAlign w:val="bottom"/>
          </w:tcPr>
          <w:p>
            <w:pPr>
              <w:jc w:val="center"/>
              <w:ind w:right="1078"/>
              <w:spacing w:after="0"/>
              <w:rPr>
                <w:sz w:val="20"/>
                <w:szCs w:val="20"/>
                <w:color w:val="auto"/>
              </w:rPr>
            </w:pPr>
            <w:r>
              <w:rPr>
                <w:rFonts w:ascii="Times New Roman" w:cs="Times New Roman" w:eastAsia="Times New Roman" w:hAnsi="Times New Roman"/>
                <w:sz w:val="14"/>
                <w:szCs w:val="14"/>
                <w:i w:val="1"/>
                <w:iCs w:val="1"/>
                <w:color w:val="auto"/>
              </w:rPr>
              <w:t>(State or other jurisdiction</w:t>
            </w:r>
          </w:p>
        </w:tc>
        <w:tc>
          <w:tcPr>
            <w:tcW w:w="3220" w:type="dxa"/>
            <w:vAlign w:val="bottom"/>
          </w:tcPr>
          <w:p>
            <w:pPr>
              <w:jc w:val="center"/>
              <w:ind w:left="1099"/>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203"/>
        </w:trPr>
        <w:tc>
          <w:tcPr>
            <w:tcW w:w="3420" w:type="dxa"/>
            <w:vAlign w:val="bottom"/>
          </w:tcPr>
          <w:p>
            <w:pPr>
              <w:jc w:val="center"/>
              <w:ind w:right="1078"/>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tc>
        <w:tc>
          <w:tcPr>
            <w:tcW w:w="3220" w:type="dxa"/>
            <w:vAlign w:val="bottom"/>
          </w:tcPr>
          <w:p>
            <w:pPr>
              <w:spacing w:after="0"/>
              <w:rPr>
                <w:sz w:val="17"/>
                <w:szCs w:val="17"/>
                <w:color w:val="auto"/>
              </w:rPr>
            </w:pPr>
          </w:p>
        </w:tc>
      </w:tr>
      <w:tr>
        <w:trPr>
          <w:trHeight w:val="564"/>
        </w:trPr>
        <w:tc>
          <w:tcPr>
            <w:tcW w:w="3420" w:type="dxa"/>
            <w:vAlign w:val="bottom"/>
          </w:tcPr>
          <w:p>
            <w:pPr>
              <w:jc w:val="center"/>
              <w:ind w:right="1058"/>
              <w:spacing w:after="0"/>
              <w:rPr>
                <w:sz w:val="20"/>
                <w:szCs w:val="20"/>
                <w:color w:val="auto"/>
              </w:rPr>
            </w:pPr>
            <w:r>
              <w:rPr>
                <w:rFonts w:ascii="Times New Roman" w:cs="Times New Roman" w:eastAsia="Times New Roman" w:hAnsi="Times New Roman"/>
                <w:sz w:val="18"/>
                <w:szCs w:val="18"/>
                <w:b w:val="1"/>
                <w:bCs w:val="1"/>
                <w:color w:val="auto"/>
                <w:w w:val="99"/>
              </w:rPr>
              <w:t>33587 Walker Road</w:t>
            </w:r>
          </w:p>
        </w:tc>
        <w:tc>
          <w:tcPr>
            <w:tcW w:w="3220" w:type="dxa"/>
            <w:vAlign w:val="bottom"/>
          </w:tcPr>
          <w:p>
            <w:pPr>
              <w:jc w:val="right"/>
              <w:ind w:right="719"/>
              <w:spacing w:after="0"/>
              <w:rPr>
                <w:sz w:val="20"/>
                <w:szCs w:val="20"/>
                <w:color w:val="auto"/>
              </w:rPr>
            </w:pPr>
            <w:r>
              <w:rPr>
                <w:rFonts w:ascii="Times New Roman" w:cs="Times New Roman" w:eastAsia="Times New Roman" w:hAnsi="Times New Roman"/>
                <w:sz w:val="18"/>
                <w:szCs w:val="18"/>
                <w:b w:val="1"/>
                <w:bCs w:val="1"/>
                <w:color w:val="auto"/>
              </w:rPr>
              <w:t>44012</w:t>
            </w:r>
          </w:p>
        </w:tc>
      </w:tr>
      <w:tr>
        <w:trPr>
          <w:trHeight w:val="259"/>
        </w:trPr>
        <w:tc>
          <w:tcPr>
            <w:tcW w:w="3420" w:type="dxa"/>
            <w:vAlign w:val="bottom"/>
          </w:tcPr>
          <w:p>
            <w:pPr>
              <w:jc w:val="center"/>
              <w:ind w:right="1078"/>
              <w:spacing w:after="0"/>
              <w:rPr>
                <w:sz w:val="20"/>
                <w:szCs w:val="20"/>
                <w:color w:val="auto"/>
              </w:rPr>
            </w:pPr>
            <w:r>
              <w:rPr>
                <w:rFonts w:ascii="Times New Roman" w:cs="Times New Roman" w:eastAsia="Times New Roman" w:hAnsi="Times New Roman"/>
                <w:sz w:val="20"/>
                <w:szCs w:val="20"/>
                <w:b w:val="1"/>
                <w:bCs w:val="1"/>
                <w:color w:val="auto"/>
                <w:w w:val="97"/>
              </w:rPr>
              <w:t>Avon Lake</w:t>
            </w:r>
            <w:r>
              <w:rPr>
                <w:rFonts w:ascii="Times New Roman" w:cs="Times New Roman" w:eastAsia="Times New Roman" w:hAnsi="Times New Roman"/>
                <w:sz w:val="17"/>
                <w:szCs w:val="17"/>
                <w:b w:val="1"/>
                <w:bCs w:val="1"/>
                <w:color w:val="auto"/>
                <w:w w:val="97"/>
              </w:rPr>
              <w:t>,</w:t>
            </w:r>
            <w:r>
              <w:rPr>
                <w:rFonts w:ascii="Times New Roman" w:cs="Times New Roman" w:eastAsia="Times New Roman" w:hAnsi="Times New Roman"/>
                <w:sz w:val="20"/>
                <w:szCs w:val="20"/>
                <w:b w:val="1"/>
                <w:bCs w:val="1"/>
                <w:color w:val="auto"/>
                <w:w w:val="97"/>
              </w:rPr>
              <w:t xml:space="preserve"> Ohio</w:t>
            </w:r>
          </w:p>
        </w:tc>
        <w:tc>
          <w:tcPr>
            <w:tcW w:w="3220" w:type="dxa"/>
            <w:vAlign w:val="bottom"/>
          </w:tcPr>
          <w:p>
            <w:pPr>
              <w:spacing w:after="0"/>
              <w:rPr>
                <w:sz w:val="22"/>
                <w:szCs w:val="22"/>
                <w:color w:val="auto"/>
              </w:rPr>
            </w:pPr>
          </w:p>
        </w:tc>
      </w:tr>
      <w:tr>
        <w:trPr>
          <w:trHeight w:val="190"/>
        </w:trPr>
        <w:tc>
          <w:tcPr>
            <w:tcW w:w="3420" w:type="dxa"/>
            <w:vAlign w:val="bottom"/>
          </w:tcPr>
          <w:p>
            <w:pPr>
              <w:jc w:val="center"/>
              <w:ind w:right="107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3220" w:type="dxa"/>
            <w:vAlign w:val="bottom"/>
          </w:tcPr>
          <w:p>
            <w:pPr>
              <w:jc w:val="center"/>
              <w:ind w:left="1099"/>
              <w:spacing w:after="0"/>
              <w:rPr>
                <w:sz w:val="20"/>
                <w:szCs w:val="20"/>
                <w:color w:val="auto"/>
              </w:rPr>
            </w:pPr>
            <w:r>
              <w:rPr>
                <w:rFonts w:ascii="Times New Roman" w:cs="Times New Roman" w:eastAsia="Times New Roman" w:hAnsi="Times New Roman"/>
                <w:sz w:val="14"/>
                <w:szCs w:val="14"/>
                <w:i w:val="1"/>
                <w:iCs w:val="1"/>
                <w:color w:val="auto"/>
              </w:rPr>
              <w:t>(Zip Code)</w:t>
            </w:r>
          </w:p>
        </w:tc>
      </w:tr>
    </w:tbl>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(440) 930-1000</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Former name, former address and former fiscal year, if changed since last report: </w:t>
      </w:r>
      <w:r>
        <w:rPr>
          <w:rFonts w:ascii="Times New Roman" w:cs="Times New Roman" w:eastAsia="Times New Roman" w:hAnsi="Times New Roman"/>
          <w:sz w:val="18"/>
          <w:szCs w:val="18"/>
          <w:b w:val="1"/>
          <w:bCs w:val="1"/>
          <w:color w:val="auto"/>
        </w:rPr>
        <w:t>Not Applicable</w:t>
      </w:r>
    </w:p>
    <w:p>
      <w:pPr>
        <w:spacing w:after="0" w:line="6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97"/>
        </w:trPr>
        <w:tc>
          <w:tcPr>
            <w:tcW w:w="16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24"/>
                <w:szCs w:val="24"/>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8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9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Common Shares, par value $.01 per share</w:t>
            </w: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AVNT</w:t>
            </w:r>
          </w:p>
        </w:tc>
        <w:tc>
          <w:tcPr>
            <w:tcW w:w="46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3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340" w:hanging="332"/>
        <w:spacing w:after="0" w:line="207" w:lineRule="exact"/>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sz w:val="24"/>
          <w:szCs w:val="24"/>
          <w:color w:val="auto"/>
        </w:rPr>
      </w:pPr>
    </w:p>
    <w:p>
      <w:pPr>
        <w:spacing w:after="0" w:line="255"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4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40"/>
          </w:cols>
          <w:pgMar w:left="320" w:top="1440" w:right="339" w:bottom="312"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The number of the registrant’s outstanding common shares, par value $.01 per share, as of March 31, 2026 was 91,710,167.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24"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Three Months Ended</w:t>
      </w:r>
    </w:p>
    <w:p>
      <w:pPr>
        <w:jc w:val="center"/>
        <w:ind w:left="890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r>
      <w:tr>
        <w:trPr>
          <w:trHeight w:val="20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826.6</w:t>
            </w:r>
          </w:p>
        </w:tc>
      </w:tr>
      <w:tr>
        <w:trPr>
          <w:trHeight w:val="215"/>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563.4</w:t>
            </w:r>
          </w:p>
        </w:tc>
      </w:tr>
      <w:tr>
        <w:trPr>
          <w:trHeight w:val="210"/>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w:t>
            </w:r>
          </w:p>
        </w:tc>
      </w:tr>
      <w:tr>
        <w:trPr>
          <w:trHeight w:val="215"/>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w:t>
            </w:r>
          </w:p>
        </w:tc>
      </w:tr>
      <w:tr>
        <w:trPr>
          <w:trHeight w:val="210"/>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5"/>
        </w:trPr>
        <w:tc>
          <w:tcPr>
            <w:tcW w:w="89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7"/>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9"/>
        </w:trPr>
        <w:tc>
          <w:tcPr>
            <w:tcW w:w="89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17"/>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9"/>
        </w:trPr>
        <w:tc>
          <w:tcPr>
            <w:tcW w:w="89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7"/>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8920" w:type="dxa"/>
            <w:vAlign w:val="bottom"/>
          </w:tcPr>
          <w:p>
            <w:pPr>
              <w:ind w:left="20"/>
              <w:spacing w:after="0"/>
              <w:rPr>
                <w:sz w:val="20"/>
                <w:szCs w:val="20"/>
                <w:color w:val="auto"/>
              </w:rPr>
            </w:pPr>
            <w:r>
              <w:rPr>
                <w:rFonts w:ascii="Arial" w:cs="Arial" w:eastAsia="Arial" w:hAnsi="Arial"/>
                <w:sz w:val="16"/>
                <w:szCs w:val="16"/>
                <w:color w:val="auto"/>
              </w:rPr>
              <w:t>Net income (loss) attributable to Avient common shareholders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8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5"/>
        </w:trPr>
        <w:tc>
          <w:tcPr>
            <w:tcW w:w="8920" w:type="dxa"/>
            <w:vAlign w:val="bottom"/>
          </w:tcPr>
          <w:p>
            <w:pPr>
              <w:ind w:left="20"/>
              <w:spacing w:after="0"/>
              <w:rPr>
                <w:sz w:val="20"/>
                <w:szCs w:val="20"/>
                <w:color w:val="auto"/>
              </w:rPr>
            </w:pPr>
            <w:r>
              <w:rPr>
                <w:rFonts w:ascii="Arial" w:cs="Arial" w:eastAsia="Arial" w:hAnsi="Arial"/>
                <w:sz w:val="16"/>
                <w:szCs w:val="16"/>
                <w:color w:val="auto"/>
              </w:rPr>
              <w:t>Earnings (loss) per share attributable to Avient common shareholders - 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(0.22)</w:t>
            </w:r>
          </w:p>
        </w:tc>
      </w:tr>
      <w:tr>
        <w:trPr>
          <w:trHeight w:val="217"/>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 attributable to Avient common shareholders - Diluted: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r>
      <w:tr>
        <w:trPr>
          <w:trHeight w:val="257"/>
        </w:trPr>
        <w:tc>
          <w:tcPr>
            <w:tcW w:w="8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used to compute earnings per common share: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8920" w:type="dxa"/>
            <w:vAlign w:val="bottom"/>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91.5</w:t>
            </w:r>
          </w:p>
        </w:tc>
      </w:tr>
      <w:tr>
        <w:trPr>
          <w:trHeight w:val="217"/>
        </w:trPr>
        <w:tc>
          <w:tcPr>
            <w:tcW w:w="8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Plus dilutive impact of share-based compensation</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920" w:type="dxa"/>
            <w:vAlign w:val="bottom"/>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91.5</w:t>
            </w:r>
          </w:p>
        </w:tc>
      </w:tr>
      <w:tr>
        <w:trPr>
          <w:trHeight w:val="163"/>
        </w:trPr>
        <w:tc>
          <w:tcPr>
            <w:tcW w:w="8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15"/>
        </w:trPr>
        <w:tc>
          <w:tcPr>
            <w:tcW w:w="8920" w:type="dxa"/>
            <w:vAlign w:val="bottom"/>
          </w:tcPr>
          <w:p>
            <w:pPr>
              <w:ind w:left="360"/>
              <w:spacing w:after="0"/>
              <w:rPr>
                <w:sz w:val="20"/>
                <w:szCs w:val="20"/>
                <w:color w:val="auto"/>
              </w:rPr>
            </w:pPr>
            <w:r>
              <w:rPr>
                <w:rFonts w:ascii="Arial" w:cs="Arial" w:eastAsia="Arial" w:hAnsi="Arial"/>
                <w:sz w:val="16"/>
                <w:szCs w:val="16"/>
                <w:color w:val="auto"/>
              </w:rPr>
              <w:t>Anti-dilutive share-based compensation awards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63"/>
        </w:trPr>
        <w:tc>
          <w:tcPr>
            <w:tcW w:w="8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15"/>
        </w:trPr>
        <w:tc>
          <w:tcPr>
            <w:tcW w:w="8920" w:type="dxa"/>
            <w:vAlign w:val="bottom"/>
          </w:tcPr>
          <w:p>
            <w:pPr>
              <w:ind w:left="20"/>
              <w:spacing w:after="0"/>
              <w:rPr>
                <w:sz w:val="20"/>
                <w:szCs w:val="20"/>
                <w:color w:val="auto"/>
              </w:rPr>
            </w:pPr>
            <w:r>
              <w:rPr>
                <w:rFonts w:ascii="Arial" w:cs="Arial" w:eastAsia="Arial" w:hAnsi="Arial"/>
                <w:sz w:val="16"/>
                <w:szCs w:val="16"/>
                <w:color w:val="auto"/>
              </w:rPr>
              <w:t>Cash dividends declared per share of common stock</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0.2750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0.2700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4"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Three Months Ended</w:t>
      </w:r>
    </w:p>
    <w:p>
      <w:pPr>
        <w:jc w:val="center"/>
        <w:ind w:left="890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9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r>
      <w:tr>
        <w:trPr>
          <w:trHeight w:val="210"/>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5"/>
        </w:trPr>
        <w:tc>
          <w:tcPr>
            <w:tcW w:w="892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8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Translation adjustments and related hedging instruments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09"/>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income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r>
      <w:tr>
        <w:trPr>
          <w:trHeight w:val="210"/>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5"/>
        </w:trPr>
        <w:tc>
          <w:tcPr>
            <w:tcW w:w="89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Comprehensive income attributable to noncontrolling interests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34"/>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Avient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Avient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millions)</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(Unaudited)</w:t>
            </w:r>
          </w:p>
        </w:tc>
        <w:tc>
          <w:tcPr>
            <w:tcW w:w="180" w:type="dxa"/>
            <w:vAlign w:val="bottom"/>
          </w:tcPr>
          <w:p>
            <w:pPr>
              <w:spacing w:after="0"/>
              <w:rPr>
                <w:sz w:val="16"/>
                <w:szCs w:val="16"/>
                <w:color w:val="auto"/>
              </w:rPr>
            </w:pPr>
          </w:p>
        </w:tc>
        <w:tc>
          <w:tcPr>
            <w:tcW w:w="17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 2026</w:t>
            </w:r>
          </w:p>
        </w:tc>
        <w:tc>
          <w:tcPr>
            <w:tcW w:w="18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0" w:type="dxa"/>
            <w:vAlign w:val="bottom"/>
          </w:tcPr>
          <w:p>
            <w:pPr>
              <w:spacing w:after="0"/>
              <w:rPr>
                <w:sz w:val="1"/>
                <w:szCs w:val="1"/>
                <w:color w:val="auto"/>
              </w:rPr>
            </w:pP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513.4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435.0</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 net</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w:t>
            </w:r>
          </w:p>
        </w:tc>
        <w:tc>
          <w:tcPr>
            <w:tcW w:w="0" w:type="dxa"/>
            <w:vAlign w:val="bottom"/>
          </w:tcPr>
          <w:p>
            <w:pPr>
              <w:spacing w:after="0"/>
              <w:rPr>
                <w:sz w:val="1"/>
                <w:szCs w:val="1"/>
                <w:color w:val="auto"/>
              </w:rPr>
            </w:pPr>
          </w:p>
        </w:tc>
      </w:tr>
      <w:tr>
        <w:trPr>
          <w:trHeight w:val="21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1,400.9</w:t>
            </w:r>
          </w:p>
        </w:tc>
        <w:tc>
          <w:tcPr>
            <w:tcW w:w="0" w:type="dxa"/>
            <w:vAlign w:val="bottom"/>
          </w:tcPr>
          <w:p>
            <w:pPr>
              <w:spacing w:after="0"/>
              <w:rPr>
                <w:sz w:val="1"/>
                <w:szCs w:val="1"/>
                <w:color w:val="auto"/>
              </w:rPr>
            </w:pP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Property, net</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988.8</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1,757.6</w:t>
            </w:r>
          </w:p>
        </w:tc>
        <w:tc>
          <w:tcPr>
            <w:tcW w:w="0" w:type="dxa"/>
            <w:vAlign w:val="bottom"/>
          </w:tcPr>
          <w:p>
            <w:pPr>
              <w:spacing w:after="0"/>
              <w:rPr>
                <w:sz w:val="1"/>
                <w:szCs w:val="1"/>
                <w:color w:val="auto"/>
              </w:rPr>
            </w:pP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1,447.4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1,492.4</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385.9</w:t>
            </w:r>
          </w:p>
        </w:tc>
        <w:tc>
          <w:tcPr>
            <w:tcW w:w="0" w:type="dxa"/>
            <w:vAlign w:val="bottom"/>
          </w:tcPr>
          <w:p>
            <w:pPr>
              <w:spacing w:after="0"/>
              <w:rPr>
                <w:sz w:val="1"/>
                <w:szCs w:val="1"/>
                <w:color w:val="auto"/>
              </w:rPr>
            </w:pPr>
          </w:p>
        </w:tc>
      </w:tr>
      <w:tr>
        <w:trPr>
          <w:trHeight w:val="209"/>
        </w:trPr>
        <w:tc>
          <w:tcPr>
            <w:tcW w:w="7260" w:type="dxa"/>
            <w:vAlign w:val="bottom"/>
          </w:tcPr>
          <w:p>
            <w:pPr>
              <w:ind w:left="2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5,944.8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6,025.6</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Short-term and 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w:t>
            </w:r>
          </w:p>
        </w:tc>
        <w:tc>
          <w:tcPr>
            <w:tcW w:w="0" w:type="dxa"/>
            <w:vAlign w:val="bottom"/>
          </w:tcPr>
          <w:p>
            <w:pPr>
              <w:spacing w:after="0"/>
              <w:rPr>
                <w:sz w:val="1"/>
                <w:szCs w:val="1"/>
                <w:color w:val="auto"/>
              </w:rPr>
            </w:pPr>
          </w:p>
        </w:tc>
      </w:tr>
      <w:tr>
        <w:trPr>
          <w:trHeight w:val="21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435.8</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846.3</w:t>
            </w:r>
          </w:p>
        </w:tc>
        <w:tc>
          <w:tcPr>
            <w:tcW w:w="0" w:type="dxa"/>
            <w:vAlign w:val="bottom"/>
          </w:tcPr>
          <w:p>
            <w:pPr>
              <w:spacing w:after="0"/>
              <w:rPr>
                <w:sz w:val="1"/>
                <w:szCs w:val="1"/>
                <w:color w:val="auto"/>
              </w:rPr>
            </w:pP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1,922.6</w:t>
            </w:r>
          </w:p>
        </w:tc>
        <w:tc>
          <w:tcPr>
            <w:tcW w:w="0" w:type="dxa"/>
            <w:vAlign w:val="bottom"/>
          </w:tcPr>
          <w:p>
            <w:pPr>
              <w:spacing w:after="0"/>
              <w:rPr>
                <w:sz w:val="1"/>
                <w:szCs w:val="1"/>
                <w:color w:val="auto"/>
              </w:rPr>
            </w:pPr>
          </w:p>
        </w:tc>
      </w:tr>
      <w:tr>
        <w:trPr>
          <w:trHeight w:val="215"/>
        </w:trPr>
        <w:tc>
          <w:tcPr>
            <w:tcW w:w="72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285.7</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584.7</w:t>
            </w:r>
          </w:p>
        </w:tc>
        <w:tc>
          <w:tcPr>
            <w:tcW w:w="0" w:type="dxa"/>
            <w:vAlign w:val="bottom"/>
          </w:tcPr>
          <w:p>
            <w:pPr>
              <w:spacing w:after="0"/>
              <w:rPr>
                <w:sz w:val="1"/>
                <w:szCs w:val="1"/>
                <w:color w:val="auto"/>
              </w:rPr>
            </w:pPr>
          </w:p>
        </w:tc>
      </w:tr>
      <w:tr>
        <w:trPr>
          <w:trHeight w:val="209"/>
        </w:trPr>
        <w:tc>
          <w:tcPr>
            <w:tcW w:w="7260" w:type="dxa"/>
            <w:vAlign w:val="bottom"/>
          </w:tcPr>
          <w:p>
            <w:pPr>
              <w:ind w:left="220"/>
              <w:spacing w:after="0"/>
              <w:rPr>
                <w:sz w:val="20"/>
                <w:szCs w:val="20"/>
                <w:color w:val="auto"/>
              </w:rPr>
            </w:pPr>
            <w:r>
              <w:rPr>
                <w:rFonts w:ascii="Arial" w:cs="Arial" w:eastAsia="Arial" w:hAnsi="Arial"/>
                <w:sz w:val="16"/>
                <w:szCs w:val="16"/>
                <w:b w:val="1"/>
                <w:bCs w:val="1"/>
                <w:color w:val="auto"/>
              </w:rPr>
              <w:t>Total non-current liabilities</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2,723.7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2,793.0</w:t>
            </w: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Avient shareholders’ equity</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2,374.2</w:t>
            </w:r>
          </w:p>
        </w:tc>
        <w:tc>
          <w:tcPr>
            <w:tcW w:w="0" w:type="dxa"/>
            <w:vAlign w:val="bottom"/>
          </w:tcPr>
          <w:p>
            <w:pPr>
              <w:spacing w:after="0"/>
              <w:rPr>
                <w:sz w:val="1"/>
                <w:szCs w:val="1"/>
                <w:color w:val="auto"/>
              </w:rPr>
            </w:pPr>
          </w:p>
        </w:tc>
      </w:tr>
      <w:tr>
        <w:trPr>
          <w:trHeight w:val="21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2,386.3</w:t>
            </w:r>
          </w:p>
        </w:tc>
        <w:tc>
          <w:tcPr>
            <w:tcW w:w="0" w:type="dxa"/>
            <w:vAlign w:val="bottom"/>
          </w:tcPr>
          <w:p>
            <w:pPr>
              <w:spacing w:after="0"/>
              <w:rPr>
                <w:sz w:val="1"/>
                <w:szCs w:val="1"/>
                <w:color w:val="auto"/>
              </w:rPr>
            </w:pPr>
          </w:p>
        </w:tc>
      </w:tr>
      <w:tr>
        <w:trPr>
          <w:trHeight w:val="209"/>
        </w:trPr>
        <w:tc>
          <w:tcPr>
            <w:tcW w:w="7260" w:type="dxa"/>
            <w:vAlign w:val="bottom"/>
          </w:tcPr>
          <w:p>
            <w:pPr>
              <w:ind w:left="22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5,944.8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6,025.6</w:t>
            </w: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Avient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millions)</w:t>
      </w:r>
    </w:p>
    <w:p>
      <w:pPr>
        <w:spacing w:after="0" w:line="30" w:lineRule="exact"/>
        <w:rPr>
          <w:sz w:val="20"/>
          <w:szCs w:val="20"/>
          <w:color w:val="auto"/>
        </w:rPr>
      </w:pPr>
    </w:p>
    <w:p>
      <w:pPr>
        <w:jc w:val="center"/>
        <w:ind w:left="8080"/>
        <w:spacing w:after="0"/>
        <w:rPr>
          <w:sz w:val="20"/>
          <w:szCs w:val="20"/>
          <w:color w:val="auto"/>
        </w:rPr>
      </w:pPr>
      <w:r>
        <w:rPr>
          <w:rFonts w:ascii="Arial" w:cs="Arial" w:eastAsia="Arial" w:hAnsi="Arial"/>
          <w:sz w:val="16"/>
          <w:szCs w:val="16"/>
          <w:b w:val="1"/>
          <w:bCs w:val="1"/>
          <w:color w:val="auto"/>
        </w:rPr>
        <w:t>Three Months Ended</w:t>
      </w:r>
    </w:p>
    <w:p>
      <w:pPr>
        <w:jc w:val="center"/>
        <w:ind w:left="808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80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r>
      <w:tr>
        <w:trPr>
          <w:trHeight w:val="196"/>
        </w:trPr>
        <w:tc>
          <w:tcPr>
            <w:tcW w:w="8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5"/>
        </w:trPr>
        <w:tc>
          <w:tcPr>
            <w:tcW w:w="8080" w:type="dxa"/>
            <w:vAlign w:val="bottom"/>
          </w:tcPr>
          <w:p>
            <w:pPr>
              <w:spacing w:after="0"/>
              <w:rPr>
                <w:sz w:val="20"/>
                <w:szCs w:val="20"/>
                <w:color w:val="auto"/>
              </w:rPr>
            </w:pPr>
            <w:r>
              <w:rPr>
                <w:rFonts w:ascii="Arial" w:cs="Arial" w:eastAsia="Arial" w:hAnsi="Arial"/>
                <w:sz w:val="16"/>
                <w:szCs w:val="16"/>
                <w:color w:val="auto"/>
              </w:rPr>
              <w:t>Net income (loss)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7"/>
        </w:trPr>
        <w:tc>
          <w:tcPr>
            <w:tcW w:w="808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80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17"/>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Cloud-based enterprise resource planning system impairment</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15"/>
        </w:trPr>
        <w:tc>
          <w:tcPr>
            <w:tcW w:w="8080" w:type="dxa"/>
            <w:vAlign w:val="bottom"/>
          </w:tcPr>
          <w:p>
            <w:pPr>
              <w:ind w:left="340"/>
              <w:spacing w:after="0"/>
              <w:rPr>
                <w:sz w:val="20"/>
                <w:szCs w:val="20"/>
                <w:color w:val="auto"/>
              </w:rPr>
            </w:pPr>
            <w:r>
              <w:rPr>
                <w:rFonts w:ascii="Arial" w:cs="Arial" w:eastAsia="Arial" w:hAnsi="Arial"/>
                <w:sz w:val="16"/>
                <w:szCs w:val="16"/>
                <w:color w:val="auto"/>
              </w:rPr>
              <w:t>Share-based compensation expense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8080" w:type="dxa"/>
            <w:vAlign w:val="bottom"/>
            <w:shd w:val="clear" w:color="auto" w:fill="CCEEFF"/>
          </w:tcPr>
          <w:p>
            <w:pPr>
              <w:spacing w:after="0"/>
              <w:rPr>
                <w:sz w:val="20"/>
                <w:szCs w:val="20"/>
                <w:color w:val="auto"/>
              </w:rPr>
            </w:pPr>
            <w:r>
              <w:rPr>
                <w:rFonts w:ascii="Arial" w:cs="Arial" w:eastAsia="Arial" w:hAnsi="Arial"/>
                <w:sz w:val="16"/>
                <w:szCs w:val="16"/>
                <w:color w:val="auto"/>
              </w:rPr>
              <w:t>Changes in assets and liabilities: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8080" w:type="dxa"/>
            <w:vAlign w:val="bottom"/>
          </w:tcPr>
          <w:p>
            <w:pPr>
              <w:ind w:left="340"/>
              <w:spacing w:after="0"/>
              <w:rPr>
                <w:sz w:val="20"/>
                <w:szCs w:val="20"/>
                <w:color w:val="auto"/>
              </w:rPr>
            </w:pPr>
            <w:r>
              <w:rPr>
                <w:rFonts w:ascii="Arial" w:cs="Arial" w:eastAsia="Arial" w:hAnsi="Arial"/>
                <w:sz w:val="16"/>
                <w:szCs w:val="16"/>
                <w:color w:val="auto"/>
              </w:rPr>
              <w:t>Increase in accounts receivable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(83.7)</w:t>
            </w:r>
          </w:p>
        </w:tc>
      </w:tr>
      <w:tr>
        <w:trPr>
          <w:trHeight w:val="217"/>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in inventories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5"/>
        </w:trPr>
        <w:tc>
          <w:tcPr>
            <w:tcW w:w="8080" w:type="dxa"/>
            <w:vAlign w:val="bottom"/>
          </w:tcPr>
          <w:p>
            <w:pPr>
              <w:ind w:left="340"/>
              <w:spacing w:after="0"/>
              <w:rPr>
                <w:sz w:val="20"/>
                <w:szCs w:val="20"/>
                <w:color w:val="auto"/>
              </w:rPr>
            </w:pPr>
            <w:r>
              <w:rPr>
                <w:rFonts w:ascii="Arial" w:cs="Arial" w:eastAsia="Arial" w:hAnsi="Arial"/>
                <w:sz w:val="16"/>
                <w:szCs w:val="16"/>
                <w:color w:val="auto"/>
              </w:rPr>
              <w:t>Increase (decrease) in accounts payable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(Decrease) increase in restructuring obligations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8080" w:type="dxa"/>
            <w:vAlign w:val="bottom"/>
          </w:tcPr>
          <w:p>
            <w:pPr>
              <w:ind w:left="340"/>
              <w:spacing w:after="0"/>
              <w:rPr>
                <w:sz w:val="20"/>
                <w:szCs w:val="20"/>
                <w:color w:val="auto"/>
              </w:rPr>
            </w:pPr>
            <w:r>
              <w:rPr>
                <w:rFonts w:ascii="Arial" w:cs="Arial" w:eastAsia="Arial" w:hAnsi="Arial"/>
                <w:sz w:val="16"/>
                <w:szCs w:val="16"/>
                <w:color w:val="auto"/>
              </w:rPr>
              <w:t>Decrease in incentive accruals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(53.1)</w:t>
            </w:r>
          </w:p>
        </w:tc>
      </w:tr>
      <w:tr>
        <w:trPr>
          <w:trHeight w:val="217"/>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Environmental insurance recovery</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15"/>
        </w:trPr>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Accrued expenses and other assets and liabilities, net</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r>
      <w:tr>
        <w:trPr>
          <w:trHeight w:val="257"/>
        </w:trPr>
        <w:tc>
          <w:tcPr>
            <w:tcW w:w="8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8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Capital expenditures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57"/>
        </w:trPr>
        <w:tc>
          <w:tcPr>
            <w:tcW w:w="8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8080" w:type="dxa"/>
            <w:vAlign w:val="bottom"/>
          </w:tcPr>
          <w:p>
            <w:pPr>
              <w:spacing w:after="0"/>
              <w:rPr>
                <w:sz w:val="20"/>
                <w:szCs w:val="20"/>
                <w:color w:val="auto"/>
              </w:rPr>
            </w:pPr>
            <w:r>
              <w:rPr>
                <w:rFonts w:ascii="Arial" w:cs="Arial" w:eastAsia="Arial" w:hAnsi="Arial"/>
                <w:sz w:val="16"/>
                <w:szCs w:val="16"/>
                <w:color w:val="auto"/>
              </w:rPr>
              <w:t>Cash dividends paid</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7"/>
        </w:trPr>
        <w:tc>
          <w:tcPr>
            <w:tcW w:w="8080" w:type="dxa"/>
            <w:vAlign w:val="bottom"/>
            <w:shd w:val="clear" w:color="auto" w:fill="CCEEFF"/>
          </w:tcPr>
          <w:p>
            <w:pPr>
              <w:spacing w:after="0"/>
              <w:rPr>
                <w:sz w:val="20"/>
                <w:szCs w:val="20"/>
                <w:color w:val="auto"/>
              </w:rPr>
            </w:pPr>
            <w:r>
              <w:rPr>
                <w:rFonts w:ascii="Arial" w:cs="Arial" w:eastAsia="Arial" w:hAnsi="Arial"/>
                <w:sz w:val="16"/>
                <w:szCs w:val="16"/>
                <w:color w:val="auto"/>
              </w:rPr>
              <w:t>Other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8080" w:type="dxa"/>
            <w:vAlign w:val="bottom"/>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17"/>
        </w:trPr>
        <w:tc>
          <w:tcPr>
            <w:tcW w:w="808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8080" w:type="dxa"/>
            <w:vAlign w:val="bottom"/>
          </w:tcPr>
          <w:p>
            <w:pPr>
              <w:spacing w:after="0"/>
              <w:rPr>
                <w:sz w:val="20"/>
                <w:szCs w:val="20"/>
                <w:color w:val="auto"/>
              </w:rPr>
            </w:pPr>
            <w:r>
              <w:rPr>
                <w:rFonts w:ascii="Arial" w:cs="Arial" w:eastAsia="Arial" w:hAnsi="Arial"/>
                <w:sz w:val="16"/>
                <w:szCs w:val="16"/>
                <w:color w:val="auto"/>
              </w:rPr>
              <w:t>Decrease in cash and cash equivalents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217"/>
        </w:trPr>
        <w:tc>
          <w:tcPr>
            <w:tcW w:w="80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544.5</w:t>
            </w:r>
          </w:p>
        </w:tc>
      </w:tr>
      <w:tr>
        <w:trPr>
          <w:trHeight w:val="209"/>
        </w:trPr>
        <w:tc>
          <w:tcPr>
            <w:tcW w:w="808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456.0</w:t>
            </w:r>
          </w:p>
        </w:tc>
      </w:tr>
      <w:tr>
        <w:trPr>
          <w:trHeight w:val="21"/>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Avient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380"/>
              <w:spacing w:after="0"/>
              <w:rPr>
                <w:sz w:val="20"/>
                <w:szCs w:val="20"/>
                <w:color w:val="auto"/>
              </w:rPr>
            </w:pPr>
            <w:r>
              <w:rPr>
                <w:rFonts w:ascii="Arial" w:cs="Arial" w:eastAsia="Arial" w:hAnsi="Arial"/>
                <w:sz w:val="12"/>
                <w:szCs w:val="12"/>
                <w:b w:val="1"/>
                <w:bCs w:val="1"/>
                <w:color w:val="auto"/>
              </w:rPr>
              <w:t>Common Shares</w:t>
            </w:r>
          </w:p>
        </w:tc>
        <w:tc>
          <w:tcPr>
            <w:tcW w:w="1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Shareholders’ Equity</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9"/>
              </w:rPr>
              <w:t>Common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4"/>
            <w:vMerge w:val="restart"/>
          </w:tcPr>
          <w:p>
            <w:pPr>
              <w:jc w:val="center"/>
              <w:ind w:right="160"/>
              <w:spacing w:after="0"/>
              <w:rPr>
                <w:sz w:val="20"/>
                <w:szCs w:val="20"/>
                <w:color w:val="auto"/>
              </w:rPr>
            </w:pPr>
            <w:r>
              <w:rPr>
                <w:rFonts w:ascii="Arial" w:cs="Arial" w:eastAsia="Arial" w:hAnsi="Arial"/>
                <w:sz w:val="12"/>
                <w:szCs w:val="12"/>
                <w:b w:val="1"/>
                <w:bCs w:val="1"/>
                <w:color w:val="auto"/>
                <w:w w:val="95"/>
              </w:rPr>
              <w:t>Additional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9"/>
              </w:rPr>
              <w:t>Common</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1"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6"/>
              </w:rPr>
              <w:t>Total Avient</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Non-</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99"/>
              </w:rPr>
              <w:t>Common</w:t>
            </w:r>
          </w:p>
        </w:tc>
        <w:tc>
          <w:tcPr>
            <w:tcW w:w="9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w w:val="96"/>
              </w:rPr>
              <w:t>Common</w:t>
            </w:r>
          </w:p>
        </w:tc>
        <w:tc>
          <w:tcPr>
            <w:tcW w:w="4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Retained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center"/>
              <w:ind w:right="162"/>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98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7"/>
              </w:rPr>
              <w:t>Shares Held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260"/>
              <w:spacing w:after="0" w:line="122" w:lineRule="exact"/>
              <w:rPr>
                <w:sz w:val="20"/>
                <w:szCs w:val="20"/>
                <w:color w:val="auto"/>
              </w:rPr>
            </w:pPr>
            <w:r>
              <w:rPr>
                <w:rFonts w:ascii="Arial" w:cs="Arial" w:eastAsia="Arial" w:hAnsi="Arial"/>
                <w:sz w:val="12"/>
                <w:szCs w:val="12"/>
                <w:b w:val="1"/>
                <w:bCs w:val="1"/>
                <w:color w:val="auto"/>
                <w:w w:val="99"/>
              </w:rPr>
              <w:t>Paid-in</w:t>
            </w:r>
          </w:p>
        </w:tc>
        <w:tc>
          <w:tcPr>
            <w:tcW w:w="4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tcPr>
          <w:p>
            <w:pPr>
              <w:jc w:val="center"/>
              <w:ind w:right="160"/>
              <w:spacing w:after="0" w:line="122" w:lineRule="exact"/>
              <w:rPr>
                <w:sz w:val="20"/>
                <w:szCs w:val="20"/>
                <w:color w:val="auto"/>
              </w:rPr>
            </w:pPr>
            <w:r>
              <w:rPr>
                <w:rFonts w:ascii="Arial" w:cs="Arial" w:eastAsia="Arial" w:hAnsi="Arial"/>
                <w:sz w:val="12"/>
                <w:szCs w:val="12"/>
                <w:b w:val="1"/>
                <w:bCs w:val="1"/>
                <w:color w:val="auto"/>
                <w:w w:val="97"/>
              </w:rPr>
              <w:t>Shares Held</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97"/>
              </w:rPr>
              <w:t>Comprehensive</w:t>
            </w: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7"/>
              </w:rPr>
              <w:t>Shareholders'</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6"/>
              </w:rPr>
              <w:t>controlling</w:t>
            </w:r>
          </w:p>
        </w:tc>
        <w:tc>
          <w:tcPr>
            <w:tcW w:w="1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9"/>
              </w:rPr>
              <w:t>Shares</w:t>
            </w:r>
          </w:p>
        </w:tc>
        <w:tc>
          <w:tcPr>
            <w:tcW w:w="9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5"/>
              </w:rPr>
              <w:t>in Treasury</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4"/>
              </w:rPr>
              <w:t>Shares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9"/>
              </w:rPr>
              <w:t>Capital</w:t>
            </w:r>
          </w:p>
        </w:tc>
        <w:tc>
          <w:tcPr>
            <w:tcW w:w="40" w:type="dxa"/>
            <w:vAlign w:val="bottom"/>
          </w:tcPr>
          <w:p>
            <w:pPr>
              <w:spacing w:after="0"/>
              <w:rPr>
                <w:sz w:val="13"/>
                <w:szCs w:val="13"/>
                <w:color w:val="auto"/>
              </w:rPr>
            </w:pPr>
          </w:p>
        </w:tc>
        <w:tc>
          <w:tcPr>
            <w:tcW w:w="820" w:type="dxa"/>
            <w:vAlign w:val="bottom"/>
            <w:gridSpan w:val="4"/>
          </w:tcPr>
          <w:p>
            <w:pPr>
              <w:ind w:left="80"/>
              <w:spacing w:after="0"/>
              <w:rPr>
                <w:sz w:val="20"/>
                <w:szCs w:val="20"/>
                <w:color w:val="auto"/>
              </w:rPr>
            </w:pPr>
            <w:r>
              <w:rPr>
                <w:rFonts w:ascii="Arial" w:cs="Arial" w:eastAsia="Arial" w:hAnsi="Arial"/>
                <w:sz w:val="12"/>
                <w:szCs w:val="12"/>
                <w:b w:val="1"/>
                <w:bCs w:val="1"/>
                <w:color w:val="auto"/>
              </w:rPr>
              <w:t>Earnings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in Treasury</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(Loss) Income</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Interests</w:t>
            </w:r>
          </w:p>
        </w:tc>
        <w:tc>
          <w:tcPr>
            <w:tcW w:w="180" w:type="dxa"/>
            <w:vAlign w:val="bottom"/>
          </w:tcPr>
          <w:p>
            <w:pPr>
              <w:spacing w:after="0"/>
              <w:rPr>
                <w:sz w:val="13"/>
                <w:szCs w:val="13"/>
                <w:color w:val="auto"/>
              </w:rPr>
            </w:pPr>
          </w:p>
        </w:tc>
        <w:tc>
          <w:tcPr>
            <w:tcW w:w="700" w:type="dxa"/>
            <w:vAlign w:val="bottom"/>
          </w:tcPr>
          <w:p>
            <w:pPr>
              <w:jc w:val="center"/>
              <w:ind w:right="122"/>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03"/>
        </w:trPr>
        <w:tc>
          <w:tcPr>
            <w:tcW w:w="1480" w:type="dxa"/>
            <w:vAlign w:val="bottom"/>
            <w:tcBorders>
              <w:top w:val="single" w:sz="8" w:color="CCEEFF"/>
            </w:tcBorders>
            <w:shd w:val="clear" w:color="auto" w:fill="CCEEFF"/>
          </w:tcPr>
          <w:p>
            <w:pPr>
              <w:ind w:left="20"/>
              <w:spacing w:after="0" w:line="103" w:lineRule="exact"/>
              <w:rPr>
                <w:sz w:val="20"/>
                <w:szCs w:val="20"/>
                <w:color w:val="auto"/>
              </w:rPr>
            </w:pPr>
            <w:r>
              <w:rPr>
                <w:rFonts w:ascii="Arial" w:cs="Arial" w:eastAsia="Arial" w:hAnsi="Arial"/>
                <w:sz w:val="11"/>
                <w:szCs w:val="11"/>
                <w:color w:val="auto"/>
              </w:rPr>
              <w:t>Balance at January 1,</w:t>
            </w:r>
          </w:p>
        </w:tc>
        <w:tc>
          <w:tcPr>
            <w:tcW w:w="7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122.2</w:t>
            </w: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(30.6)</w:t>
            </w: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gridSpan w:val="2"/>
            <w:vMerge w:val="restart"/>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1,542.4</w:t>
            </w: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gridSpan w:val="2"/>
            <w:vMerge w:val="restart"/>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1,865.1</w:t>
            </w: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gridSpan w:val="2"/>
            <w:vMerge w:val="restart"/>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(927.8)</w:t>
            </w: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(106.7)</w:t>
            </w: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2,374.2</w:t>
            </w: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12.1</w:t>
            </w: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vMerge w:val="restart"/>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2,386.3</w:t>
            </w:r>
          </w:p>
        </w:tc>
        <w:tc>
          <w:tcPr>
            <w:tcW w:w="0" w:type="dxa"/>
            <w:vAlign w:val="bottom"/>
          </w:tcPr>
          <w:p>
            <w:pPr>
              <w:spacing w:after="0"/>
              <w:rPr>
                <w:sz w:val="1"/>
                <w:szCs w:val="1"/>
                <w:color w:val="auto"/>
              </w:rPr>
            </w:pPr>
          </w:p>
        </w:tc>
      </w:tr>
      <w:tr>
        <w:trPr>
          <w:trHeight w:val="162"/>
        </w:trPr>
        <w:tc>
          <w:tcPr>
            <w:tcW w:w="1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2026</w:t>
            </w: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80" w:type="dxa"/>
            <w:vAlign w:val="bottom"/>
          </w:tcPr>
          <w:p>
            <w:pPr>
              <w:ind w:left="140"/>
              <w:spacing w:after="0"/>
              <w:rPr>
                <w:sz w:val="20"/>
                <w:szCs w:val="20"/>
                <w:color w:val="auto"/>
              </w:rPr>
            </w:pPr>
            <w:r>
              <w:rPr>
                <w:rFonts w:ascii="Arial" w:cs="Arial" w:eastAsia="Arial" w:hAnsi="Arial"/>
                <w:sz w:val="12"/>
                <w:szCs w:val="12"/>
                <w:color w:val="auto"/>
              </w:rPr>
              <w:t>Net income</w:t>
            </w:r>
          </w:p>
        </w:tc>
        <w:tc>
          <w:tcPr>
            <w:tcW w:w="20" w:type="dxa"/>
            <w:vAlign w:val="bottom"/>
          </w:tcPr>
          <w:p>
            <w:pPr>
              <w:spacing w:after="0"/>
              <w:rPr>
                <w:sz w:val="14"/>
                <w:szCs w:val="14"/>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55.7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55.7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55.8</w:t>
            </w: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140"/>
              <w:spacing w:after="0" w:line="130" w:lineRule="exact"/>
              <w:rPr>
                <w:sz w:val="20"/>
                <w:szCs w:val="20"/>
                <w:color w:val="auto"/>
              </w:rPr>
            </w:pPr>
            <w:r>
              <w:rPr>
                <w:rFonts w:ascii="Arial" w:cs="Arial" w:eastAsia="Arial" w:hAnsi="Arial"/>
                <w:sz w:val="12"/>
                <w:szCs w:val="12"/>
                <w:color w:val="auto"/>
              </w:rPr>
              <w:t>Other comprehensive</w:t>
            </w:r>
          </w:p>
        </w:tc>
        <w:tc>
          <w:tcPr>
            <w:tcW w:w="20" w:type="dxa"/>
            <w:vAlign w:val="bottom"/>
            <w:shd w:val="clear" w:color="auto" w:fill="CCEEFF"/>
          </w:tcPr>
          <w:p>
            <w:pPr>
              <w:spacing w:after="0"/>
              <w:rPr>
                <w:sz w:val="11"/>
                <w:szCs w:val="11"/>
                <w:color w:val="auto"/>
              </w:rPr>
            </w:pPr>
          </w:p>
        </w:tc>
        <w:tc>
          <w:tcPr>
            <w:tcW w:w="84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62"/>
        </w:trPr>
        <w:tc>
          <w:tcPr>
            <w:tcW w:w="1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w:t>
            </w:r>
          </w:p>
        </w:tc>
        <w:tc>
          <w:tcPr>
            <w:tcW w:w="20" w:type="dxa"/>
            <w:vAlign w:val="bottom"/>
            <w:shd w:val="clear" w:color="auto" w:fill="CCEEFF"/>
          </w:tcPr>
          <w:p>
            <w:pPr>
              <w:spacing w:after="0"/>
              <w:rPr>
                <w:sz w:val="14"/>
                <w:szCs w:val="14"/>
                <w:color w:val="auto"/>
              </w:rPr>
            </w:pPr>
          </w:p>
        </w:tc>
        <w:tc>
          <w:tcPr>
            <w:tcW w:w="840" w:type="dxa"/>
            <w:vAlign w:val="bottom"/>
            <w:gridSpan w:val="4"/>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480" w:type="dxa"/>
            <w:vAlign w:val="bottom"/>
          </w:tcPr>
          <w:p>
            <w:pPr>
              <w:ind w:left="140"/>
              <w:spacing w:after="0"/>
              <w:rPr>
                <w:sz w:val="20"/>
                <w:szCs w:val="20"/>
                <w:color w:val="auto"/>
              </w:rPr>
            </w:pPr>
            <w:r>
              <w:rPr>
                <w:rFonts w:ascii="Arial" w:cs="Arial" w:eastAsia="Arial" w:hAnsi="Arial"/>
                <w:sz w:val="12"/>
                <w:szCs w:val="12"/>
                <w:color w:val="auto"/>
              </w:rPr>
              <w:t>Cash dividends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80" w:type="dxa"/>
            <w:vAlign w:val="bottom"/>
          </w:tcPr>
          <w:p>
            <w:pPr>
              <w:ind w:left="140"/>
              <w:spacing w:after="0"/>
              <w:rPr>
                <w:sz w:val="20"/>
                <w:szCs w:val="20"/>
                <w:color w:val="auto"/>
              </w:rPr>
            </w:pPr>
            <w:r>
              <w:rPr>
                <w:rFonts w:ascii="Arial" w:cs="Arial" w:eastAsia="Arial" w:hAnsi="Arial"/>
                <w:sz w:val="12"/>
                <w:szCs w:val="12"/>
                <w:color w:val="auto"/>
              </w:rPr>
              <w:t>declared -- $0.2750</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80" w:type="dxa"/>
            <w:vAlign w:val="bottom"/>
          </w:tcPr>
          <w:p>
            <w:pPr>
              <w:ind w:left="140"/>
              <w:spacing w:after="0"/>
              <w:rPr>
                <w:sz w:val="20"/>
                <w:szCs w:val="20"/>
                <w:color w:val="auto"/>
              </w:rPr>
            </w:pPr>
            <w:r>
              <w:rPr>
                <w:rFonts w:ascii="Arial" w:cs="Arial" w:eastAsia="Arial" w:hAnsi="Arial"/>
                <w:sz w:val="12"/>
                <w:szCs w:val="12"/>
                <w:color w:val="auto"/>
              </w:rPr>
              <w:t>per share</w:t>
            </w:r>
          </w:p>
        </w:tc>
        <w:tc>
          <w:tcPr>
            <w:tcW w:w="20" w:type="dxa"/>
            <w:vAlign w:val="bottom"/>
          </w:tcPr>
          <w:p>
            <w:pPr>
              <w:spacing w:after="0"/>
              <w:rPr>
                <w:sz w:val="13"/>
                <w:szCs w:val="13"/>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(25.2)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(25.2)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(25.2)</w:t>
            </w: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140"/>
              <w:spacing w:after="0" w:line="130" w:lineRule="exact"/>
              <w:rPr>
                <w:sz w:val="20"/>
                <w:szCs w:val="20"/>
                <w:color w:val="auto"/>
              </w:rPr>
            </w:pPr>
            <w:r>
              <w:rPr>
                <w:rFonts w:ascii="Arial" w:cs="Arial" w:eastAsia="Arial" w:hAnsi="Arial"/>
                <w:sz w:val="12"/>
                <w:szCs w:val="12"/>
                <w:color w:val="auto"/>
              </w:rPr>
              <w:t>Share-based</w:t>
            </w: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480" w:type="dxa"/>
            <w:vAlign w:val="bottom"/>
            <w:shd w:val="clear" w:color="auto" w:fill="CCEEFF"/>
          </w:tcPr>
          <w:p>
            <w:pPr>
              <w:ind w:left="140"/>
              <w:spacing w:after="0" w:line="114" w:lineRule="exact"/>
              <w:rPr>
                <w:sz w:val="20"/>
                <w:szCs w:val="20"/>
                <w:color w:val="auto"/>
              </w:rPr>
            </w:pPr>
            <w:r>
              <w:rPr>
                <w:rFonts w:ascii="Arial" w:cs="Arial" w:eastAsia="Arial" w:hAnsi="Arial"/>
                <w:sz w:val="12"/>
                <w:szCs w:val="12"/>
                <w:color w:val="auto"/>
              </w:rPr>
              <w:t>compensation and</w:t>
            </w:r>
          </w:p>
        </w:tc>
        <w:tc>
          <w:tcPr>
            <w:tcW w:w="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exercise of awards</w:t>
            </w:r>
          </w:p>
        </w:tc>
        <w:tc>
          <w:tcPr>
            <w:tcW w:w="2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02"/>
        </w:trPr>
        <w:tc>
          <w:tcPr>
            <w:tcW w:w="1480" w:type="dxa"/>
            <w:vAlign w:val="bottom"/>
          </w:tcPr>
          <w:p>
            <w:pPr>
              <w:ind w:left="20"/>
              <w:spacing w:after="0" w:line="102" w:lineRule="exact"/>
              <w:rPr>
                <w:sz w:val="20"/>
                <w:szCs w:val="20"/>
                <w:color w:val="auto"/>
              </w:rPr>
            </w:pPr>
            <w:r>
              <w:rPr>
                <w:rFonts w:ascii="Arial" w:cs="Arial" w:eastAsia="Arial" w:hAnsi="Arial"/>
                <w:sz w:val="11"/>
                <w:szCs w:val="11"/>
                <w:color w:val="auto"/>
              </w:rPr>
              <w:t>Balance at March 31,</w:t>
            </w:r>
          </w:p>
        </w:tc>
        <w:tc>
          <w:tcPr>
            <w:tcW w:w="7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2"/>
                <w:szCs w:val="12"/>
                <w:color w:val="auto"/>
              </w:rPr>
              <w:t>122.2</w:t>
            </w: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(30.5)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color w:val="auto"/>
              </w:rPr>
              <w:t>1.2</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gridSpan w:val="2"/>
            <w:vMerge w:val="restart"/>
          </w:tcPr>
          <w:p>
            <w:pPr>
              <w:jc w:val="right"/>
              <w:ind w:right="2"/>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color w:val="auto"/>
              </w:rPr>
              <w:t>1,541.1</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top w:val="single" w:sz="8" w:color="auto"/>
            </w:tcBorders>
            <w:gridSpan w:val="2"/>
            <w:vMerge w:val="restart"/>
          </w:tcPr>
          <w:p>
            <w:pPr>
              <w:jc w:val="right"/>
              <w:ind w:right="22"/>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color w:val="auto"/>
              </w:rPr>
              <w:t>1,895.6</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gridSpan w:val="2"/>
            <w:vMerge w:val="restart"/>
          </w:tcPr>
          <w:p>
            <w:pPr>
              <w:jc w:val="right"/>
              <w:ind w:right="2"/>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(926.6)</w:t>
            </w:r>
          </w:p>
        </w:tc>
        <w:tc>
          <w:tcPr>
            <w:tcW w:w="12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(105.5)</w:t>
            </w:r>
          </w:p>
        </w:tc>
        <w:tc>
          <w:tcPr>
            <w:tcW w:w="120" w:type="dxa"/>
            <w:vAlign w:val="bottom"/>
          </w:tcPr>
          <w:p>
            <w:pPr>
              <w:spacing w:after="0"/>
              <w:rPr>
                <w:sz w:val="8"/>
                <w:szCs w:val="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color w:val="auto"/>
              </w:rPr>
              <w:t>2,405.8</w:t>
            </w:r>
          </w:p>
        </w:tc>
        <w:tc>
          <w:tcPr>
            <w:tcW w:w="120" w:type="dxa"/>
            <w:vAlign w:val="bottom"/>
          </w:tcPr>
          <w:p>
            <w:pPr>
              <w:spacing w:after="0"/>
              <w:rPr>
                <w:sz w:val="8"/>
                <w:szCs w:val="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color w:val="auto"/>
              </w:rPr>
              <w:t>12.2</w:t>
            </w:r>
          </w:p>
        </w:tc>
        <w:tc>
          <w:tcPr>
            <w:tcW w:w="10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color w:val="auto"/>
              </w:rPr>
              <w:t>2,418.0</w:t>
            </w:r>
          </w:p>
        </w:tc>
        <w:tc>
          <w:tcPr>
            <w:tcW w:w="0" w:type="dxa"/>
            <w:vAlign w:val="bottom"/>
          </w:tcPr>
          <w:p>
            <w:pPr>
              <w:spacing w:after="0"/>
              <w:rPr>
                <w:sz w:val="1"/>
                <w:szCs w:val="1"/>
                <w:color w:val="auto"/>
              </w:rPr>
            </w:pPr>
          </w:p>
        </w:tc>
      </w:tr>
      <w:tr>
        <w:trPr>
          <w:trHeight w:val="152"/>
        </w:trPr>
        <w:tc>
          <w:tcPr>
            <w:tcW w:w="1480" w:type="dxa"/>
            <w:vAlign w:val="bottom"/>
          </w:tcPr>
          <w:p>
            <w:pPr>
              <w:ind w:left="20"/>
              <w:spacing w:after="0"/>
              <w:rPr>
                <w:sz w:val="20"/>
                <w:szCs w:val="20"/>
                <w:color w:val="auto"/>
              </w:rPr>
            </w:pPr>
            <w:r>
              <w:rPr>
                <w:rFonts w:ascii="Arial" w:cs="Arial" w:eastAsia="Arial" w:hAnsi="Arial"/>
                <w:sz w:val="12"/>
                <w:szCs w:val="12"/>
                <w:color w:val="auto"/>
              </w:rPr>
              <w:t>2026</w:t>
            </w:r>
          </w:p>
        </w:tc>
        <w:tc>
          <w:tcPr>
            <w:tcW w:w="7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1"/>
        </w:trPr>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Borders>
              <w:bottom w:val="single" w:sz="8" w:color="auto"/>
            </w:tcBorders>
            <w:gridSpan w:val="6"/>
          </w:tcPr>
          <w:p>
            <w:pPr>
              <w:ind w:left="400"/>
              <w:spacing w:after="0"/>
              <w:rPr>
                <w:sz w:val="20"/>
                <w:szCs w:val="20"/>
                <w:color w:val="auto"/>
              </w:rPr>
            </w:pPr>
            <w:r>
              <w:rPr>
                <w:rFonts w:ascii="Arial" w:cs="Arial" w:eastAsia="Arial" w:hAnsi="Arial"/>
                <w:sz w:val="12"/>
                <w:szCs w:val="12"/>
                <w:b w:val="1"/>
                <w:bCs w:val="1"/>
                <w:color w:val="auto"/>
              </w:rPr>
              <w:t>Common Shares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Shareholders’ Equity</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9"/>
              </w:rPr>
              <w:t>Common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jc w:val="center"/>
              <w:ind w:right="160"/>
              <w:spacing w:after="0"/>
              <w:rPr>
                <w:sz w:val="20"/>
                <w:szCs w:val="20"/>
                <w:color w:val="auto"/>
              </w:rPr>
            </w:pPr>
            <w:r>
              <w:rPr>
                <w:rFonts w:ascii="Arial" w:cs="Arial" w:eastAsia="Arial" w:hAnsi="Arial"/>
                <w:sz w:val="12"/>
                <w:szCs w:val="12"/>
                <w:b w:val="1"/>
                <w:bCs w:val="1"/>
                <w:color w:val="auto"/>
                <w:w w:val="98"/>
              </w:rPr>
              <w:t>Additional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6"/>
              </w:rPr>
              <w:t>Common</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5"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6"/>
              </w:rPr>
              <w:t>Total Avient</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Non-</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99"/>
              </w:rPr>
              <w:t>Common</w:t>
            </w:r>
          </w:p>
        </w:tc>
        <w:tc>
          <w:tcPr>
            <w:tcW w:w="9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w w:val="99"/>
              </w:rPr>
              <w:t>Common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Retained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center"/>
              <w:ind w:right="162"/>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8"/>
        </w:trPr>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980" w:type="dxa"/>
            <w:vAlign w:val="bottom"/>
            <w:gridSpan w:val="3"/>
          </w:tcPr>
          <w:p>
            <w:pPr>
              <w:jc w:val="center"/>
              <w:ind w:right="100"/>
              <w:spacing w:after="0" w:line="118" w:lineRule="exact"/>
              <w:rPr>
                <w:sz w:val="20"/>
                <w:szCs w:val="20"/>
                <w:color w:val="auto"/>
              </w:rPr>
            </w:pPr>
            <w:r>
              <w:rPr>
                <w:rFonts w:ascii="Arial" w:cs="Arial" w:eastAsia="Arial" w:hAnsi="Arial"/>
                <w:sz w:val="12"/>
                <w:szCs w:val="12"/>
                <w:b w:val="1"/>
                <w:bCs w:val="1"/>
                <w:color w:val="auto"/>
              </w:rPr>
              <w:t>Shares Held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160"/>
              <w:spacing w:after="0" w:line="118" w:lineRule="exact"/>
              <w:rPr>
                <w:sz w:val="20"/>
                <w:szCs w:val="20"/>
                <w:color w:val="auto"/>
              </w:rPr>
            </w:pPr>
            <w:r>
              <w:rPr>
                <w:rFonts w:ascii="Arial" w:cs="Arial" w:eastAsia="Arial" w:hAnsi="Arial"/>
                <w:sz w:val="12"/>
                <w:szCs w:val="12"/>
                <w:b w:val="1"/>
                <w:bCs w:val="1"/>
                <w:color w:val="auto"/>
                <w:w w:val="94"/>
              </w:rPr>
              <w:t>Paid-in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18" w:lineRule="exact"/>
              <w:rPr>
                <w:sz w:val="20"/>
                <w:szCs w:val="20"/>
                <w:color w:val="auto"/>
              </w:rPr>
            </w:pPr>
            <w:r>
              <w:rPr>
                <w:rFonts w:ascii="Arial" w:cs="Arial" w:eastAsia="Arial" w:hAnsi="Arial"/>
                <w:sz w:val="12"/>
                <w:szCs w:val="12"/>
                <w:b w:val="1"/>
                <w:bCs w:val="1"/>
                <w:color w:val="auto"/>
              </w:rPr>
              <w:t>Shares Held</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7"/>
              </w:rPr>
              <w:t>Comprehensive</w:t>
            </w: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97"/>
              </w:rPr>
              <w:t>Shareholders'</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96"/>
              </w:rPr>
              <w:t>controlling</w:t>
            </w:r>
          </w:p>
        </w:tc>
        <w:tc>
          <w:tcPr>
            <w:tcW w:w="1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5"/>
              </w:rPr>
              <w:t>in Treasury</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99"/>
              </w:rPr>
              <w:t>Shares</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94"/>
              </w:rPr>
              <w:t>Capital</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w w:val="97"/>
              </w:rPr>
              <w:t>Earnings</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95"/>
              </w:rPr>
              <w:t>in Treasury</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8"/>
              </w:rPr>
              <w:t>(Loss) Income</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5"/>
              </w:rPr>
              <w:t>Interests</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22"/>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07"/>
        </w:trPr>
        <w:tc>
          <w:tcPr>
            <w:tcW w:w="1480" w:type="dxa"/>
            <w:vAlign w:val="bottom"/>
            <w:shd w:val="clear" w:color="auto" w:fill="CCEEFF"/>
          </w:tcPr>
          <w:p>
            <w:pPr>
              <w:ind w:left="20"/>
              <w:spacing w:after="0" w:line="107" w:lineRule="exact"/>
              <w:rPr>
                <w:sz w:val="20"/>
                <w:szCs w:val="20"/>
                <w:color w:val="auto"/>
              </w:rPr>
            </w:pPr>
            <w:r>
              <w:rPr>
                <w:rFonts w:ascii="Arial" w:cs="Arial" w:eastAsia="Arial" w:hAnsi="Arial"/>
                <w:sz w:val="12"/>
                <w:szCs w:val="12"/>
                <w:color w:val="auto"/>
              </w:rPr>
              <w:t>Balance at January 1,</w:t>
            </w:r>
          </w:p>
        </w:tc>
        <w:tc>
          <w:tcPr>
            <w:tcW w:w="74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122.2</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(30.8)</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1,537.5</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1,882.5</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(929.6)</w:t>
            </w:r>
          </w:p>
        </w:tc>
        <w:tc>
          <w:tcPr>
            <w:tcW w:w="12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(177.8)</w:t>
            </w:r>
          </w:p>
        </w:tc>
        <w:tc>
          <w:tcPr>
            <w:tcW w:w="1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2,313.8</w:t>
            </w:r>
          </w:p>
        </w:tc>
        <w:tc>
          <w:tcPr>
            <w:tcW w:w="1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15.8</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2,329.6</w:t>
            </w: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2025</w:t>
            </w:r>
          </w:p>
        </w:tc>
        <w:tc>
          <w:tcPr>
            <w:tcW w:w="7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480" w:type="dxa"/>
            <w:vAlign w:val="bottom"/>
          </w:tcPr>
          <w:p>
            <w:pPr>
              <w:ind w:left="140"/>
              <w:spacing w:after="0"/>
              <w:rPr>
                <w:sz w:val="20"/>
                <w:szCs w:val="20"/>
                <w:color w:val="auto"/>
              </w:rPr>
            </w:pPr>
            <w:r>
              <w:rPr>
                <w:rFonts w:ascii="Arial" w:cs="Arial" w:eastAsia="Arial" w:hAnsi="Arial"/>
                <w:sz w:val="12"/>
                <w:szCs w:val="12"/>
                <w:color w:val="auto"/>
              </w:rPr>
              <w:t>Net loss</w:t>
            </w:r>
          </w:p>
        </w:tc>
        <w:tc>
          <w:tcPr>
            <w:tcW w:w="20" w:type="dxa"/>
            <w:vAlign w:val="bottom"/>
          </w:tcPr>
          <w:p>
            <w:pPr>
              <w:spacing w:after="0"/>
              <w:rPr>
                <w:sz w:val="14"/>
                <w:szCs w:val="14"/>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(20.2)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(19.9)</w:t>
            </w:r>
          </w:p>
        </w:tc>
        <w:tc>
          <w:tcPr>
            <w:tcW w:w="0" w:type="dxa"/>
            <w:vAlign w:val="bottom"/>
          </w:tcPr>
          <w:p>
            <w:pPr>
              <w:spacing w:after="0"/>
              <w:rPr>
                <w:sz w:val="1"/>
                <w:szCs w:val="1"/>
                <w:color w:val="auto"/>
              </w:rPr>
            </w:pPr>
          </w:p>
        </w:tc>
      </w:tr>
      <w:tr>
        <w:trPr>
          <w:trHeight w:val="136"/>
        </w:trPr>
        <w:tc>
          <w:tcPr>
            <w:tcW w:w="1480" w:type="dxa"/>
            <w:vAlign w:val="bottom"/>
            <w:shd w:val="clear" w:color="auto" w:fill="CCEEFF"/>
          </w:tcPr>
          <w:p>
            <w:pPr>
              <w:ind w:left="140"/>
              <w:spacing w:after="0" w:line="136" w:lineRule="exact"/>
              <w:rPr>
                <w:sz w:val="20"/>
                <w:szCs w:val="20"/>
                <w:color w:val="auto"/>
              </w:rPr>
            </w:pPr>
            <w:r>
              <w:rPr>
                <w:rFonts w:ascii="Arial" w:cs="Arial" w:eastAsia="Arial" w:hAnsi="Arial"/>
                <w:sz w:val="12"/>
                <w:szCs w:val="12"/>
                <w:color w:val="auto"/>
              </w:rPr>
              <w:t>Other comprehensive</w:t>
            </w:r>
          </w:p>
        </w:tc>
        <w:tc>
          <w:tcPr>
            <w:tcW w:w="20" w:type="dxa"/>
            <w:vAlign w:val="bottom"/>
            <w:shd w:val="clear" w:color="auto" w:fill="CCEEFF"/>
          </w:tcPr>
          <w:p>
            <w:pPr>
              <w:spacing w:after="0"/>
              <w:rPr>
                <w:sz w:val="11"/>
                <w:szCs w:val="11"/>
                <w:color w:val="auto"/>
              </w:rPr>
            </w:pPr>
          </w:p>
        </w:tc>
        <w:tc>
          <w:tcPr>
            <w:tcW w:w="84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29.5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29.5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w:t>
            </w:r>
          </w:p>
        </w:tc>
        <w:tc>
          <w:tcPr>
            <w:tcW w:w="20" w:type="dxa"/>
            <w:vAlign w:val="bottom"/>
            <w:shd w:val="clear" w:color="auto" w:fill="CCEEFF"/>
          </w:tcPr>
          <w:p>
            <w:pPr>
              <w:spacing w:after="0"/>
              <w:rPr>
                <w:sz w:val="13"/>
                <w:szCs w:val="13"/>
                <w:color w:val="auto"/>
              </w:rPr>
            </w:pPr>
          </w:p>
        </w:tc>
        <w:tc>
          <w:tcPr>
            <w:tcW w:w="840" w:type="dxa"/>
            <w:vAlign w:val="bottom"/>
            <w:gridSpan w:val="4"/>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480" w:type="dxa"/>
            <w:vAlign w:val="bottom"/>
          </w:tcPr>
          <w:p>
            <w:pPr>
              <w:ind w:left="140"/>
              <w:spacing w:after="0" w:line="128" w:lineRule="exact"/>
              <w:rPr>
                <w:sz w:val="20"/>
                <w:szCs w:val="20"/>
                <w:color w:val="auto"/>
              </w:rPr>
            </w:pPr>
            <w:r>
              <w:rPr>
                <w:rFonts w:ascii="Arial" w:cs="Arial" w:eastAsia="Arial" w:hAnsi="Arial"/>
                <w:sz w:val="12"/>
                <w:szCs w:val="12"/>
                <w:color w:val="auto"/>
              </w:rPr>
              <w:t>Cash dividends</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80" w:type="dxa"/>
            <w:vAlign w:val="bottom"/>
          </w:tcPr>
          <w:p>
            <w:pPr>
              <w:ind w:left="140"/>
              <w:spacing w:after="0" w:line="122" w:lineRule="exact"/>
              <w:rPr>
                <w:sz w:val="20"/>
                <w:szCs w:val="20"/>
                <w:color w:val="auto"/>
              </w:rPr>
            </w:pPr>
            <w:r>
              <w:rPr>
                <w:rFonts w:ascii="Arial" w:cs="Arial" w:eastAsia="Arial" w:hAnsi="Arial"/>
                <w:sz w:val="12"/>
                <w:szCs w:val="12"/>
                <w:color w:val="auto"/>
              </w:rPr>
              <w:t>declared -- $0.2700 per</w:t>
            </w:r>
          </w:p>
        </w:tc>
        <w:tc>
          <w:tcPr>
            <w:tcW w:w="20" w:type="dxa"/>
            <w:vAlign w:val="bottom"/>
          </w:tcPr>
          <w:p>
            <w:pPr>
              <w:spacing w:after="0"/>
              <w:rPr>
                <w:sz w:val="10"/>
                <w:szCs w:val="10"/>
                <w:color w:val="auto"/>
              </w:rPr>
            </w:pPr>
          </w:p>
        </w:tc>
        <w:tc>
          <w:tcPr>
            <w:tcW w:w="840" w:type="dxa"/>
            <w:vAlign w:val="bottom"/>
            <w:gridSpan w:val="4"/>
            <w:vMerge w:val="restart"/>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3"/>
            <w:vMerge w:val="restart"/>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(24.7)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(24.7)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154"/>
        </w:trPr>
        <w:tc>
          <w:tcPr>
            <w:tcW w:w="1480" w:type="dxa"/>
            <w:vAlign w:val="bottom"/>
          </w:tcPr>
          <w:p>
            <w:pPr>
              <w:ind w:left="140"/>
              <w:spacing w:after="0"/>
              <w:rPr>
                <w:sz w:val="20"/>
                <w:szCs w:val="20"/>
                <w:color w:val="auto"/>
              </w:rPr>
            </w:pPr>
            <w:r>
              <w:rPr>
                <w:rFonts w:ascii="Arial" w:cs="Arial" w:eastAsia="Arial" w:hAnsi="Arial"/>
                <w:sz w:val="12"/>
                <w:szCs w:val="12"/>
                <w:color w:val="auto"/>
              </w:rPr>
              <w:t>share</w:t>
            </w:r>
          </w:p>
        </w:tc>
        <w:tc>
          <w:tcPr>
            <w:tcW w:w="2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80" w:type="dxa"/>
            <w:vAlign w:val="bottom"/>
            <w:shd w:val="clear" w:color="auto" w:fill="CCEEFF"/>
          </w:tcPr>
          <w:p>
            <w:pPr>
              <w:ind w:left="140"/>
              <w:spacing w:after="0" w:line="130" w:lineRule="exact"/>
              <w:rPr>
                <w:sz w:val="20"/>
                <w:szCs w:val="20"/>
                <w:color w:val="auto"/>
              </w:rPr>
            </w:pPr>
            <w:r>
              <w:rPr>
                <w:rFonts w:ascii="Arial" w:cs="Arial" w:eastAsia="Arial" w:hAnsi="Arial"/>
                <w:sz w:val="12"/>
                <w:szCs w:val="12"/>
                <w:color w:val="auto"/>
              </w:rPr>
              <w:t>Share-based</w:t>
            </w: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80" w:type="dxa"/>
            <w:vAlign w:val="bottom"/>
            <w:shd w:val="clear" w:color="auto" w:fill="CCEEFF"/>
          </w:tcPr>
          <w:p>
            <w:pPr>
              <w:ind w:left="140"/>
              <w:spacing w:after="0" w:line="122" w:lineRule="exact"/>
              <w:rPr>
                <w:sz w:val="20"/>
                <w:szCs w:val="20"/>
                <w:color w:val="auto"/>
              </w:rPr>
            </w:pPr>
            <w:r>
              <w:rPr>
                <w:rFonts w:ascii="Arial" w:cs="Arial" w:eastAsia="Arial" w:hAnsi="Arial"/>
                <w:sz w:val="12"/>
                <w:szCs w:val="12"/>
                <w:color w:val="auto"/>
              </w:rPr>
              <w:t>compensation and</w:t>
            </w:r>
          </w:p>
        </w:tc>
        <w:tc>
          <w:tcPr>
            <w:tcW w:w="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gridSpan w:val="2"/>
            <w:vMerge w:val="restart"/>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(1.2)</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exercise of awards</w:t>
            </w:r>
          </w:p>
        </w:tc>
        <w:tc>
          <w:tcPr>
            <w:tcW w:w="20" w:type="dxa"/>
            <w:vAlign w:val="bottom"/>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gridSpan w:val="2"/>
            <w:vMerge w:val="continue"/>
            <w:shd w:val="clear" w:color="auto" w:fill="CCEEFF"/>
          </w:tcPr>
          <w:p>
            <w:pPr>
              <w:spacing w:after="0"/>
              <w:rPr>
                <w:sz w:val="13"/>
                <w:szCs w:val="13"/>
                <w:color w:val="auto"/>
              </w:rPr>
            </w:pPr>
          </w:p>
        </w:tc>
        <w:tc>
          <w:tcPr>
            <w:tcW w:w="20" w:type="dxa"/>
            <w:vAlign w:val="bottom"/>
            <w:tcBorders>
              <w:bottom w:val="single" w:sz="8" w:color="auto"/>
            </w:tcBorders>
            <w:vMerge w:val="continue"/>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2"/>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gridSpan w:val="2"/>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80" w:type="dxa"/>
            <w:vAlign w:val="bottom"/>
          </w:tcPr>
          <w:p>
            <w:pPr>
              <w:ind w:left="20"/>
              <w:spacing w:after="0" w:line="107" w:lineRule="exact"/>
              <w:rPr>
                <w:sz w:val="20"/>
                <w:szCs w:val="20"/>
                <w:color w:val="auto"/>
              </w:rPr>
            </w:pPr>
            <w:r>
              <w:rPr>
                <w:rFonts w:ascii="Arial" w:cs="Arial" w:eastAsia="Arial" w:hAnsi="Arial"/>
                <w:sz w:val="12"/>
                <w:szCs w:val="12"/>
                <w:color w:val="auto"/>
              </w:rPr>
              <w:t>Balance at March 31,</w:t>
            </w:r>
          </w:p>
        </w:tc>
        <w:tc>
          <w:tcPr>
            <w:tcW w:w="74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122.2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(30.7)</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1,536.3</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1,837.6</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(928.5)</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(148.3)</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tcPr>
          <w:p>
            <w:pPr>
              <w:jc w:val="right"/>
              <w:ind w:right="2"/>
              <w:spacing w:after="0"/>
              <w:rPr>
                <w:sz w:val="20"/>
                <w:szCs w:val="20"/>
                <w:color w:val="auto"/>
              </w:rPr>
            </w:pPr>
            <w:r>
              <w:rPr>
                <w:rFonts w:ascii="Arial" w:cs="Arial" w:eastAsia="Arial" w:hAnsi="Arial"/>
                <w:sz w:val="12"/>
                <w:szCs w:val="12"/>
                <w:color w:val="auto"/>
              </w:rPr>
              <w:t>2,298.3</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16.1</w:t>
            </w:r>
          </w:p>
        </w:tc>
        <w:tc>
          <w:tcPr>
            <w:tcW w:w="100" w:type="dxa"/>
            <w:vAlign w:val="bottom"/>
          </w:tcPr>
          <w:p>
            <w:pPr>
              <w:spacing w:after="0"/>
              <w:rPr>
                <w:sz w:val="9"/>
                <w:szCs w:val="9"/>
                <w:color w:val="auto"/>
              </w:rPr>
            </w:pPr>
          </w:p>
        </w:tc>
        <w:tc>
          <w:tcPr>
            <w:tcW w:w="180" w:type="dxa"/>
            <w:vAlign w:val="bottom"/>
            <w:vMerge w:val="restart"/>
          </w:tcPr>
          <w:p>
            <w:pPr>
              <w:jc w:val="right"/>
              <w:ind w:right="42"/>
              <w:spacing w:after="0"/>
              <w:rPr>
                <w:sz w:val="20"/>
                <w:szCs w:val="20"/>
                <w:color w:val="auto"/>
              </w:rPr>
            </w:pPr>
            <w:r>
              <w:rPr>
                <w:rFonts w:ascii="Arial" w:cs="Arial" w:eastAsia="Arial" w:hAnsi="Arial"/>
                <w:sz w:val="12"/>
                <w:szCs w:val="12"/>
                <w:color w:val="auto"/>
                <w:w w:val="89"/>
              </w:rPr>
              <w:t>$</w:t>
            </w: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2,314.4</w:t>
            </w:r>
          </w:p>
        </w:tc>
        <w:tc>
          <w:tcPr>
            <w:tcW w:w="0" w:type="dxa"/>
            <w:vAlign w:val="bottom"/>
          </w:tcPr>
          <w:p>
            <w:pPr>
              <w:spacing w:after="0"/>
              <w:rPr>
                <w:sz w:val="1"/>
                <w:szCs w:val="1"/>
                <w:color w:val="auto"/>
              </w:rPr>
            </w:pPr>
          </w:p>
        </w:tc>
      </w:tr>
      <w:tr>
        <w:trPr>
          <w:trHeight w:val="152"/>
        </w:trPr>
        <w:tc>
          <w:tcPr>
            <w:tcW w:w="1480" w:type="dxa"/>
            <w:vAlign w:val="bottom"/>
          </w:tcPr>
          <w:p>
            <w:pPr>
              <w:ind w:left="20"/>
              <w:spacing w:after="0"/>
              <w:rPr>
                <w:sz w:val="20"/>
                <w:szCs w:val="20"/>
                <w:color w:val="auto"/>
              </w:rPr>
            </w:pPr>
            <w:r>
              <w:rPr>
                <w:rFonts w:ascii="Arial" w:cs="Arial" w:eastAsia="Arial" w:hAnsi="Arial"/>
                <w:sz w:val="12"/>
                <w:szCs w:val="12"/>
                <w:color w:val="auto"/>
              </w:rPr>
              <w:t>2025</w:t>
            </w:r>
          </w:p>
        </w:tc>
        <w:tc>
          <w:tcPr>
            <w:tcW w:w="7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Avient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Form 10-Q instructions and in the opinion of management contain all adjustments, including those that are normal, recurring and necessary to present fairly the financial position, results of operations and cash flows for the periods presented. The preparation of financial statements in conformity with generally accepted accounting principles requires management to make estimates and assumptions that affect the amounts reported in the financial statements and accompanying notes. Actual results could differ from these estimates. These interim financial statements should be read in conjunction with the consolidated financial statements and accompanying notes included in the Annual Report on Form 10-K for the year ended December 31, 2025 of Avient Corporation. When used in this Quarterly Report on Form 10-Q, the terms “we,” “us,” “our,” “Avient” and the “Company” mean Avient Corporation and its consolidated subsidiaries.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results for the three months ended March 31, 2026 are not necessarily indicative of the results that may be attained in subsequent periods or for the year ending December 31, 2026.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 – Credit Losses (Topic 326): Measurement of Credit Losses for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Receivable and Contract Assets </w:t>
      </w:r>
      <w:r>
        <w:rPr>
          <w:rFonts w:ascii="Arial" w:cs="Arial" w:eastAsia="Arial" w:hAnsi="Arial"/>
          <w:sz w:val="18"/>
          <w:szCs w:val="18"/>
          <w:color w:val="auto"/>
        </w:rPr>
        <w:t>(ASU 2025-05). This accounting standard provides a practical expedient allowing entities to assume that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conditions as of the balance sheet date remain unchanged over the remaining life of the asset when estimating expected credit losses. The Company adopted the ASU effective January 1, 2026 on a prospective basis. The adoption did not have a material impact on the Company's allowance for doubtful accounts.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(Subtopic 220-40): Disaggregation of Income Statement Expenses (ASU 2024-03). </w:t>
      </w:r>
      <w:r>
        <w:rPr>
          <w:rFonts w:ascii="Arial" w:cs="Arial" w:eastAsia="Arial" w:hAnsi="Arial"/>
          <w:sz w:val="18"/>
          <w:szCs w:val="18"/>
          <w:color w:val="auto"/>
        </w:rPr>
        <w:t>This accounting standard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disaggregated income statement expense disclosures on an annual and interim basis, including inventory purchases, employee compensation, depreciation, and intangible asset amortization for each income statement line item that contains theses expenses. The standard also requires disclosure of total selling expenses on an annual and interim basis, and the definition of those expenses disclosed annually. ASU 2024-03 is effective for annual reporting periods beginning after December 15, 2026, and interim reporting periods beginning after December 15, 2027, and may be applied prospectively or retrospectively. The Company is evaluating the impact of ASU 2024-03. As the standard will only impact its disclosures, there will be no material impact to the consolidated financial statements.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 – Goodwill and Other – Internal-Use Software (Subtopic 350-40)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the Accounting for Internal-Use Software </w:t>
      </w:r>
      <w:r>
        <w:rPr>
          <w:rFonts w:ascii="Arial" w:cs="Arial" w:eastAsia="Arial" w:hAnsi="Arial"/>
          <w:sz w:val="18"/>
          <w:szCs w:val="18"/>
          <w:color w:val="auto"/>
        </w:rPr>
        <w:t>(ASU 2025-06). This accounting standard changes when software project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should be capitalized by removing all references to development stages and requiring costs to be capitalized when (1) the Company authorizes and commits to funding the software project and (2) it is probable the software project will be completed. The standard also requires additional annual and interim disclosures, including the capitalized software balance and accumulated amortization. ASU 2025-06 is effective for annual reporting periods, including interim reporting periods within those annual periods, beginning after December 15, 2027, with early adoption permitted and may be applied prospectively, retrospectively, or using a modified prospective transition approach. The Company is evaluating the impact of ASU 2025-06 and expects the standard will not have a material impact on the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Goodwill as of March 31, 2026 and December 31, 2025 and changes in the carrying amount of goodwill by segment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Specialty Engineered Materials</w:t>
            </w:r>
          </w:p>
        </w:tc>
        <w:tc>
          <w:tcPr>
            <w:tcW w:w="120" w:type="dxa"/>
            <w:vAlign w:val="bottom"/>
            <w:tcBorders>
              <w:bottom w:val="single" w:sz="8" w:color="CCEEFF"/>
            </w:tcBorders>
          </w:tcPr>
          <w:p>
            <w:pPr>
              <w:spacing w:after="0"/>
              <w:rPr>
                <w:sz w:val="17"/>
                <w:szCs w:val="17"/>
                <w:color w:val="auto"/>
              </w:rPr>
            </w:pPr>
          </w:p>
        </w:tc>
        <w:tc>
          <w:tcPr>
            <w:tcW w:w="23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Color, Additives and Inks</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10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6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1,757.6</w:t>
            </w:r>
          </w:p>
        </w:tc>
        <w:tc>
          <w:tcPr>
            <w:tcW w:w="0" w:type="dxa"/>
            <w:vAlign w:val="bottom"/>
          </w:tcPr>
          <w:p>
            <w:pPr>
              <w:spacing w:after="0"/>
              <w:rPr>
                <w:sz w:val="1"/>
                <w:szCs w:val="1"/>
                <w:color w:val="auto"/>
              </w:rPr>
            </w:pPr>
          </w:p>
        </w:tc>
      </w:tr>
      <w:tr>
        <w:trPr>
          <w:trHeight w:val="215"/>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translation</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3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2026</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6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700.4</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1,739.2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gridSpan w:val="3"/>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580" w:type="dxa"/>
            <w:vAlign w:val="bottom"/>
            <w:gridSpan w:val="6"/>
          </w:tcPr>
          <w:p>
            <w:pPr>
              <w:spacing w:after="0"/>
              <w:rPr>
                <w:sz w:val="20"/>
                <w:szCs w:val="20"/>
                <w:color w:val="auto"/>
              </w:rPr>
            </w:pPr>
            <w:r>
              <w:rPr>
                <w:rFonts w:ascii="Arial" w:cs="Arial" w:eastAsia="Arial" w:hAnsi="Arial"/>
                <w:sz w:val="18"/>
                <w:szCs w:val="18"/>
                <w:color w:val="auto"/>
              </w:rPr>
              <w:t>Indefinite and finite-lived intangible assets consisted of the following:</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3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right="499"/>
              <w:spacing w:after="0"/>
              <w:rPr>
                <w:sz w:val="20"/>
                <w:szCs w:val="20"/>
                <w:color w:val="auto"/>
              </w:rPr>
            </w:pPr>
            <w:r>
              <w:rPr>
                <w:rFonts w:ascii="Arial" w:cs="Arial" w:eastAsia="Arial" w:hAnsi="Arial"/>
                <w:sz w:val="16"/>
                <w:szCs w:val="16"/>
                <w:b w:val="1"/>
                <w:bCs w:val="1"/>
                <w:color w:val="auto"/>
              </w:rPr>
              <w:t>As of March 31, 2026</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Acquisition Cost</w:t>
            </w:r>
          </w:p>
        </w:tc>
        <w:tc>
          <w:tcPr>
            <w:tcW w:w="280" w:type="dxa"/>
            <w:vAlign w:val="bottom"/>
          </w:tcPr>
          <w:p>
            <w:pPr>
              <w:spacing w:after="0"/>
              <w:rPr>
                <w:sz w:val="13"/>
                <w:szCs w:val="13"/>
                <w:color w:val="auto"/>
              </w:rPr>
            </w:pPr>
          </w:p>
        </w:tc>
        <w:tc>
          <w:tcPr>
            <w:tcW w:w="1700" w:type="dxa"/>
            <w:vAlign w:val="bottom"/>
            <w:gridSpan w:val="4"/>
          </w:tcPr>
          <w:p>
            <w:pPr>
              <w:ind w:left="140"/>
              <w:spacing w:after="0" w:line="155"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186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Currency Translation</w:t>
            </w:r>
          </w:p>
        </w:tc>
        <w:tc>
          <w:tcPr>
            <w:tcW w:w="360" w:type="dxa"/>
            <w:vAlign w:val="bottom"/>
          </w:tcPr>
          <w:p>
            <w:pPr>
              <w:spacing w:after="0"/>
              <w:rPr>
                <w:sz w:val="13"/>
                <w:szCs w:val="13"/>
                <w:color w:val="auto"/>
              </w:rPr>
            </w:pPr>
          </w:p>
        </w:tc>
        <w:tc>
          <w:tcPr>
            <w:tcW w:w="1620" w:type="dxa"/>
            <w:vAlign w:val="bottom"/>
            <w:gridSpan w:val="2"/>
            <w:vMerge w:val="restart"/>
          </w:tcPr>
          <w:p>
            <w:pPr>
              <w:jc w:val="right"/>
              <w:ind w:right="90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4"/>
          </w:tcPr>
          <w:p>
            <w:pPr>
              <w:ind w:left="1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860" w:type="dxa"/>
            <w:vAlign w:val="bottom"/>
            <w:gridSpan w:val="5"/>
            <w:vMerge w:val="continue"/>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726.2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Patents, technology and other</w:t>
            </w:r>
          </w:p>
        </w:tc>
        <w:tc>
          <w:tcPr>
            <w:tcW w:w="200" w:type="dxa"/>
            <w:vAlign w:val="bottom"/>
          </w:tcPr>
          <w:p>
            <w:pPr>
              <w:spacing w:after="0"/>
              <w:rPr>
                <w:sz w:val="18"/>
                <w:szCs w:val="18"/>
                <w:color w:val="auto"/>
              </w:rPr>
            </w:pPr>
          </w:p>
        </w:tc>
        <w:tc>
          <w:tcPr>
            <w:tcW w:w="1680" w:type="dxa"/>
            <w:vAlign w:val="bottom"/>
            <w:gridSpan w:val="2"/>
          </w:tcPr>
          <w:p>
            <w:pPr>
              <w:jc w:val="right"/>
              <w:ind w:right="2"/>
              <w:spacing w:after="0"/>
              <w:rPr>
                <w:sz w:val="20"/>
                <w:szCs w:val="20"/>
                <w:color w:val="auto"/>
              </w:rPr>
            </w:pPr>
            <w:r>
              <w:rPr>
                <w:rFonts w:ascii="Arial" w:cs="Arial" w:eastAsia="Arial" w:hAnsi="Arial"/>
                <w:sz w:val="16"/>
                <w:szCs w:val="16"/>
                <w:color w:val="auto"/>
              </w:rPr>
              <w:t>847.0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Indefinite-lived trade names</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362.8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1,936.0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(592.1)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94"/>
              </w:rPr>
              <w:t>103.5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3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379"/>
              <w:spacing w:after="0"/>
              <w:rPr>
                <w:sz w:val="20"/>
                <w:szCs w:val="20"/>
                <w:color w:val="auto"/>
              </w:rPr>
            </w:pPr>
            <w:r>
              <w:rPr>
                <w:rFonts w:ascii="Arial" w:cs="Arial" w:eastAsia="Arial" w:hAnsi="Arial"/>
                <w:sz w:val="16"/>
                <w:szCs w:val="16"/>
                <w:b w:val="1"/>
                <w:bCs w:val="1"/>
                <w:color w:val="auto"/>
              </w:rPr>
              <w:t>As of December 31, 2025</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Acquisition Cost</w:t>
            </w:r>
          </w:p>
        </w:tc>
        <w:tc>
          <w:tcPr>
            <w:tcW w:w="280" w:type="dxa"/>
            <w:vAlign w:val="bottom"/>
          </w:tcPr>
          <w:p>
            <w:pPr>
              <w:spacing w:after="0"/>
              <w:rPr>
                <w:sz w:val="13"/>
                <w:szCs w:val="13"/>
                <w:color w:val="auto"/>
              </w:rPr>
            </w:pPr>
          </w:p>
        </w:tc>
        <w:tc>
          <w:tcPr>
            <w:tcW w:w="1700" w:type="dxa"/>
            <w:vAlign w:val="bottom"/>
            <w:gridSpan w:val="4"/>
          </w:tcPr>
          <w:p>
            <w:pPr>
              <w:ind w:left="140"/>
              <w:spacing w:after="0" w:line="155"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186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Currency Translation</w:t>
            </w:r>
          </w:p>
        </w:tc>
        <w:tc>
          <w:tcPr>
            <w:tcW w:w="360" w:type="dxa"/>
            <w:vAlign w:val="bottom"/>
          </w:tcPr>
          <w:p>
            <w:pPr>
              <w:spacing w:after="0"/>
              <w:rPr>
                <w:sz w:val="13"/>
                <w:szCs w:val="13"/>
                <w:color w:val="auto"/>
              </w:rPr>
            </w:pPr>
          </w:p>
        </w:tc>
        <w:tc>
          <w:tcPr>
            <w:tcW w:w="1620" w:type="dxa"/>
            <w:vAlign w:val="bottom"/>
            <w:gridSpan w:val="2"/>
            <w:vMerge w:val="restart"/>
          </w:tcPr>
          <w:p>
            <w:pPr>
              <w:jc w:val="right"/>
              <w:ind w:right="90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4"/>
          </w:tcPr>
          <w:p>
            <w:pPr>
              <w:ind w:left="1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860" w:type="dxa"/>
            <w:vAlign w:val="bottom"/>
            <w:gridSpan w:val="5"/>
            <w:vMerge w:val="continue"/>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726.2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(269.7)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Patents, technology and other</w:t>
            </w:r>
          </w:p>
        </w:tc>
        <w:tc>
          <w:tcPr>
            <w:tcW w:w="200" w:type="dxa"/>
            <w:vAlign w:val="bottom"/>
          </w:tcPr>
          <w:p>
            <w:pPr>
              <w:spacing w:after="0"/>
              <w:rPr>
                <w:sz w:val="18"/>
                <w:szCs w:val="18"/>
                <w:color w:val="auto"/>
              </w:rPr>
            </w:pPr>
          </w:p>
        </w:tc>
        <w:tc>
          <w:tcPr>
            <w:tcW w:w="1680" w:type="dxa"/>
            <w:vAlign w:val="bottom"/>
            <w:gridSpan w:val="2"/>
          </w:tcPr>
          <w:p>
            <w:pPr>
              <w:jc w:val="right"/>
              <w:ind w:right="2"/>
              <w:spacing w:after="0"/>
              <w:rPr>
                <w:sz w:val="20"/>
                <w:szCs w:val="20"/>
                <w:color w:val="auto"/>
              </w:rPr>
            </w:pPr>
            <w:r>
              <w:rPr>
                <w:rFonts w:ascii="Arial" w:cs="Arial" w:eastAsia="Arial" w:hAnsi="Arial"/>
                <w:sz w:val="16"/>
                <w:szCs w:val="16"/>
                <w:color w:val="auto"/>
              </w:rPr>
              <w:t>847.0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Indefinite-lived trade names</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362.8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1,936.0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(571.1)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94"/>
              </w:rPr>
              <w:t>127.5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RESTRUCTURING, IMPAIRMENT AND OTHER CHARGES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first quarter of 2025, the Company completed a review of its cloud-based enterprise resource planning system, S/4HANA, including updated project timelines, cost incurred to date, required internal resources and expected costs to complete the initial site implementations, and the evolution of options that could provide better returns for shareholders. As a result of this review, the Company determined it would cease the ongoing development of S/4HANA.</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a result of this decision, in the first quarter of 2025, the Company recognized a non-cash, pre-tax impairment charge of $71.6 million associated with capitalized implementation costs. The Company also recognized pre-tax charges of $14.7 million associated with unpaid contractual obligations for hosting fees. Further, the Company recognized charges of $2.8 million associated with severance actions resulting from the decision to cease development of S/4HANA. These charges are included in </w:t>
      </w:r>
      <w:r>
        <w:rPr>
          <w:rFonts w:ascii="Arial" w:cs="Arial" w:eastAsia="Arial" w:hAnsi="Arial"/>
          <w:sz w:val="18"/>
          <w:szCs w:val="18"/>
          <w:i w:val="1"/>
          <w:iCs w:val="1"/>
          <w:color w:val="auto"/>
        </w:rPr>
        <w:t>Selling and administrative expense</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Condensed Consolidated Statements of Income</w:t>
      </w:r>
      <w:r>
        <w:rPr>
          <w:rFonts w:ascii="Arial" w:cs="Arial" w:eastAsia="Arial" w:hAnsi="Arial"/>
          <w:sz w:val="18"/>
          <w:szCs w:val="18"/>
          <w:color w:val="auto"/>
        </w:rPr>
        <w:t>.</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Further restructuring charges in 2026 and 2025 were recognized associated with workforce reductions and plant closures. These actions have been taken as a result of productivity initiatives and organizational changes.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all restructuring activity is shown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0" w:type="dxa"/>
            <w:vAlign w:val="bottom"/>
            <w:gridSpan w:val="3"/>
          </w:tcPr>
          <w:p>
            <w:pPr>
              <w:ind w:left="100"/>
              <w:spacing w:after="0"/>
              <w:rPr>
                <w:sz w:val="20"/>
                <w:szCs w:val="20"/>
                <w:color w:val="auto"/>
              </w:rPr>
            </w:pPr>
            <w:r>
              <w:rPr>
                <w:rFonts w:ascii="Arial" w:cs="Arial" w:eastAsia="Arial" w:hAnsi="Arial"/>
                <w:sz w:val="16"/>
                <w:szCs w:val="16"/>
                <w:b w:val="1"/>
                <w:bCs w:val="1"/>
                <w:color w:val="auto"/>
              </w:rPr>
              <w:t>Workforce reductions</w:t>
            </w:r>
          </w:p>
        </w:tc>
        <w:tc>
          <w:tcPr>
            <w:tcW w:w="1980" w:type="dxa"/>
            <w:vAlign w:val="bottom"/>
            <w:gridSpan w:val="3"/>
          </w:tcPr>
          <w:p>
            <w:pPr>
              <w:ind w:left="40"/>
              <w:spacing w:after="0"/>
              <w:rPr>
                <w:sz w:val="20"/>
                <w:szCs w:val="20"/>
                <w:color w:val="auto"/>
              </w:rPr>
            </w:pPr>
            <w:r>
              <w:rPr>
                <w:rFonts w:ascii="Arial" w:cs="Arial" w:eastAsia="Arial" w:hAnsi="Arial"/>
                <w:sz w:val="16"/>
                <w:szCs w:val="16"/>
                <w:b w:val="1"/>
                <w:bCs w:val="1"/>
                <w:color w:val="auto"/>
              </w:rPr>
              <w:t>Plant closing and other</w:t>
            </w:r>
          </w:p>
        </w:tc>
        <w:tc>
          <w:tcPr>
            <w:tcW w:w="420" w:type="dxa"/>
            <w:vAlign w:val="bottom"/>
          </w:tcPr>
          <w:p>
            <w:pPr>
              <w:spacing w:after="0"/>
              <w:rPr>
                <w:sz w:val="18"/>
                <w:szCs w:val="18"/>
                <w:color w:val="auto"/>
              </w:rPr>
            </w:pPr>
          </w:p>
        </w:tc>
        <w:tc>
          <w:tcPr>
            <w:tcW w:w="1460" w:type="dxa"/>
            <w:vAlign w:val="bottom"/>
          </w:tcPr>
          <w:p>
            <w:pPr>
              <w:jc w:val="right"/>
              <w:ind w:right="679"/>
              <w:spacing w:after="0"/>
              <w:rPr>
                <w:sz w:val="20"/>
                <w:szCs w:val="20"/>
                <w:color w:val="auto"/>
              </w:rPr>
            </w:pPr>
            <w:r>
              <w:rPr>
                <w:rFonts w:ascii="Arial" w:cs="Arial" w:eastAsia="Arial" w:hAnsi="Arial"/>
                <w:sz w:val="16"/>
                <w:szCs w:val="16"/>
                <w:b w:val="1"/>
                <w:bCs w:val="1"/>
                <w:color w:val="auto"/>
              </w:rPr>
              <w:t>Total</w:t>
            </w: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1, 2025</w:t>
            </w:r>
          </w:p>
        </w:tc>
        <w:tc>
          <w:tcPr>
            <w:tcW w:w="78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5"/>
        </w:trPr>
        <w:tc>
          <w:tcPr>
            <w:tcW w:w="5280" w:type="dxa"/>
            <w:vAlign w:val="bottom"/>
          </w:tcPr>
          <w:p>
            <w:pPr>
              <w:ind w:left="140"/>
              <w:spacing w:after="0"/>
              <w:rPr>
                <w:sz w:val="20"/>
                <w:szCs w:val="20"/>
                <w:color w:val="auto"/>
              </w:rPr>
            </w:pPr>
            <w:r>
              <w:rPr>
                <w:rFonts w:ascii="Arial" w:cs="Arial" w:eastAsia="Arial" w:hAnsi="Arial"/>
                <w:sz w:val="16"/>
                <w:szCs w:val="16"/>
                <w:color w:val="auto"/>
              </w:rPr>
              <w:t>Restructuring charges</w:t>
            </w: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45.6</w:t>
            </w:r>
          </w:p>
        </w:tc>
      </w:tr>
      <w:tr>
        <w:trPr>
          <w:trHeight w:val="217"/>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utilization and translation</w:t>
            </w:r>
          </w:p>
        </w:tc>
        <w:tc>
          <w:tcPr>
            <w:tcW w:w="7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09"/>
        </w:trPr>
        <w:tc>
          <w:tcPr>
            <w:tcW w:w="5280" w:type="dxa"/>
            <w:vAlign w:val="bottom"/>
          </w:tcPr>
          <w:p>
            <w:pPr>
              <w:ind w:left="20"/>
              <w:spacing w:after="0"/>
              <w:rPr>
                <w:sz w:val="20"/>
                <w:szCs w:val="20"/>
                <w:color w:val="auto"/>
              </w:rPr>
            </w:pPr>
            <w:r>
              <w:rPr>
                <w:rFonts w:ascii="Arial" w:cs="Arial" w:eastAsia="Arial" w:hAnsi="Arial"/>
                <w:sz w:val="16"/>
                <w:szCs w:val="16"/>
                <w:color w:val="auto"/>
              </w:rPr>
              <w:t>Balance at December 31, 2025</w:t>
            </w: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17"/>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charges</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Payments, utilization and translation</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23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2026</w:t>
            </w: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These restructuring charges were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and administrative expense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w:t>
      </w:r>
      <w:r>
        <w:rPr>
          <w:rFonts w:ascii="Arial" w:cs="Arial" w:eastAsia="Arial" w:hAnsi="Arial"/>
          <w:sz w:val="18"/>
          <w:szCs w:val="18"/>
          <w:i w:val="1"/>
          <w:iCs w:val="1"/>
          <w:color w:val="auto"/>
        </w:rPr>
        <w:t>Inventories, net</w:t>
      </w:r>
      <w:r>
        <w:rPr>
          <w:rFonts w:ascii="Arial" w:cs="Arial" w:eastAsia="Arial" w:hAnsi="Arial"/>
          <w:sz w:val="18"/>
          <w:szCs w:val="18"/>
          <w:color w:val="auto"/>
        </w:rPr>
        <w:t xml:space="preserve">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232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of March 31, 2026</w:t>
            </w:r>
          </w:p>
        </w:tc>
        <w:tc>
          <w:tcPr>
            <w:tcW w:w="220" w:type="dxa"/>
            <w:vAlign w:val="bottom"/>
          </w:tcPr>
          <w:p>
            <w:pPr>
              <w:spacing w:after="0"/>
              <w:rPr>
                <w:sz w:val="18"/>
                <w:szCs w:val="18"/>
                <w:color w:val="auto"/>
              </w:rPr>
            </w:pPr>
          </w:p>
        </w:tc>
        <w:tc>
          <w:tcPr>
            <w:tcW w:w="2300" w:type="dxa"/>
            <w:vAlign w:val="bottom"/>
          </w:tcPr>
          <w:p>
            <w:pPr>
              <w:jc w:val="right"/>
              <w:ind w:right="219"/>
              <w:spacing w:after="0"/>
              <w:rPr>
                <w:sz w:val="20"/>
                <w:szCs w:val="20"/>
                <w:color w:val="auto"/>
              </w:rPr>
            </w:pPr>
            <w:r>
              <w:rPr>
                <w:rFonts w:ascii="Arial" w:cs="Arial" w:eastAsia="Arial" w:hAnsi="Arial"/>
                <w:sz w:val="16"/>
                <w:szCs w:val="16"/>
                <w:b w:val="1"/>
                <w:bCs w:val="1"/>
                <w:color w:val="auto"/>
              </w:rPr>
              <w:t>As of December 31, 2025</w:t>
            </w:r>
          </w:p>
        </w:tc>
      </w:tr>
      <w:tr>
        <w:trPr>
          <w:trHeight w:val="210"/>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w:t>
            </w:r>
          </w:p>
        </w:tc>
      </w:tr>
      <w:tr>
        <w:trPr>
          <w:trHeight w:val="215"/>
        </w:trPr>
        <w:tc>
          <w:tcPr>
            <w:tcW w:w="61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8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28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w:t>
            </w:r>
          </w:p>
        </w:tc>
      </w:tr>
      <w:tr>
        <w:trPr>
          <w:trHeight w:val="209"/>
        </w:trPr>
        <w:tc>
          <w:tcPr>
            <w:tcW w:w="6120" w:type="dxa"/>
            <w:vAlign w:val="bottom"/>
          </w:tcPr>
          <w:p>
            <w:pPr>
              <w:ind w:left="20"/>
              <w:spacing w:after="0"/>
              <w:rPr>
                <w:sz w:val="20"/>
                <w:szCs w:val="20"/>
                <w:color w:val="auto"/>
              </w:rPr>
            </w:pPr>
            <w:r>
              <w:rPr>
                <w:rFonts w:ascii="Arial" w:cs="Arial" w:eastAsia="Arial" w:hAnsi="Arial"/>
                <w:sz w:val="16"/>
                <w:szCs w:val="16"/>
                <w:color w:val="auto"/>
              </w:rPr>
              <w:t>Inventories,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367.2</w:t>
            </w:r>
          </w:p>
        </w:tc>
      </w:tr>
      <w:tr>
        <w:trPr>
          <w:trHeight w:val="21"/>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w:t>
      </w:r>
      <w:r>
        <w:rPr>
          <w:rFonts w:ascii="Arial" w:cs="Arial" w:eastAsia="Arial" w:hAnsi="Arial"/>
          <w:sz w:val="18"/>
          <w:szCs w:val="18"/>
          <w:i w:val="1"/>
          <w:iCs w:val="1"/>
          <w:color w:val="auto"/>
        </w:rPr>
        <w:t>Property, net</w:t>
      </w:r>
      <w:r>
        <w:rPr>
          <w:rFonts w:ascii="Arial" w:cs="Arial" w:eastAsia="Arial" w:hAnsi="Arial"/>
          <w:sz w:val="18"/>
          <w:szCs w:val="18"/>
          <w:color w:val="auto"/>
        </w:rPr>
        <w:t xml:space="preserve">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232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of March 31, 2026</w:t>
            </w:r>
          </w:p>
        </w:tc>
        <w:tc>
          <w:tcPr>
            <w:tcW w:w="220" w:type="dxa"/>
            <w:vAlign w:val="bottom"/>
          </w:tcPr>
          <w:p>
            <w:pPr>
              <w:spacing w:after="0"/>
              <w:rPr>
                <w:sz w:val="18"/>
                <w:szCs w:val="18"/>
                <w:color w:val="auto"/>
              </w:rPr>
            </w:pPr>
          </w:p>
        </w:tc>
        <w:tc>
          <w:tcPr>
            <w:tcW w:w="2300" w:type="dxa"/>
            <w:vAlign w:val="bottom"/>
          </w:tcPr>
          <w:p>
            <w:pPr>
              <w:jc w:val="right"/>
              <w:ind w:right="219"/>
              <w:spacing w:after="0"/>
              <w:rPr>
                <w:sz w:val="20"/>
                <w:szCs w:val="20"/>
                <w:color w:val="auto"/>
              </w:rPr>
            </w:pPr>
            <w:r>
              <w:rPr>
                <w:rFonts w:ascii="Arial" w:cs="Arial" w:eastAsia="Arial" w:hAnsi="Arial"/>
                <w:sz w:val="16"/>
                <w:szCs w:val="16"/>
                <w:b w:val="1"/>
                <w:bCs w:val="1"/>
                <w:color w:val="auto"/>
              </w:rPr>
              <w:t>As of December 31, 2025</w:t>
            </w:r>
          </w:p>
        </w:tc>
      </w:tr>
      <w:tr>
        <w:trPr>
          <w:trHeight w:val="210"/>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r>
      <w:tr>
        <w:trPr>
          <w:trHeight w:val="215"/>
        </w:trPr>
        <w:tc>
          <w:tcPr>
            <w:tcW w:w="6120" w:type="dxa"/>
            <w:vAlign w:val="bottom"/>
          </w:tcPr>
          <w:p>
            <w:pPr>
              <w:ind w:left="20"/>
              <w:spacing w:after="0"/>
              <w:rPr>
                <w:sz w:val="20"/>
                <w:szCs w:val="20"/>
                <w:color w:val="auto"/>
              </w:rPr>
            </w:pPr>
            <w:r>
              <w:rPr>
                <w:rFonts w:ascii="Arial" w:cs="Arial" w:eastAsia="Arial" w:hAnsi="Arial"/>
                <w:sz w:val="16"/>
                <w:szCs w:val="16"/>
                <w:color w:val="auto"/>
              </w:rPr>
              <w:t>Buildings</w:t>
            </w:r>
          </w:p>
        </w:tc>
        <w:tc>
          <w:tcPr>
            <w:tcW w:w="28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451.1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455.6</w:t>
            </w:r>
          </w:p>
        </w:tc>
      </w:tr>
      <w:tr>
        <w:trPr>
          <w:trHeight w:val="21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1,382.5</w:t>
            </w:r>
          </w:p>
        </w:tc>
      </w:tr>
      <w:tr>
        <w:trPr>
          <w:trHeight w:val="209"/>
        </w:trPr>
        <w:tc>
          <w:tcPr>
            <w:tcW w:w="6120" w:type="dxa"/>
            <w:vAlign w:val="bottom"/>
          </w:tcPr>
          <w:p>
            <w:pPr>
              <w:ind w:left="20"/>
              <w:spacing w:after="0"/>
              <w:rPr>
                <w:sz w:val="20"/>
                <w:szCs w:val="20"/>
                <w:color w:val="auto"/>
              </w:rPr>
            </w:pPr>
            <w:r>
              <w:rPr>
                <w:rFonts w:ascii="Arial" w:cs="Arial" w:eastAsia="Arial" w:hAnsi="Arial"/>
                <w:sz w:val="16"/>
                <w:szCs w:val="16"/>
                <w:color w:val="auto"/>
              </w:rPr>
              <w:t>Property, gross</w:t>
            </w:r>
          </w:p>
        </w:tc>
        <w:tc>
          <w:tcPr>
            <w:tcW w:w="28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1,925.6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1,938.9</w:t>
            </w:r>
          </w:p>
        </w:tc>
      </w:tr>
      <w:tr>
        <w:trPr>
          <w:trHeight w:val="217"/>
        </w:trPr>
        <w:tc>
          <w:tcPr>
            <w:tcW w:w="6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(950.1)</w:t>
            </w:r>
          </w:p>
        </w:tc>
      </w:tr>
      <w:tr>
        <w:trPr>
          <w:trHeight w:val="209"/>
        </w:trPr>
        <w:tc>
          <w:tcPr>
            <w:tcW w:w="6120" w:type="dxa"/>
            <w:vAlign w:val="bottom"/>
          </w:tcPr>
          <w:p>
            <w:pPr>
              <w:ind w:left="20"/>
              <w:spacing w:after="0"/>
              <w:rPr>
                <w:sz w:val="20"/>
                <w:szCs w:val="20"/>
                <w:color w:val="auto"/>
              </w:rPr>
            </w:pPr>
            <w:r>
              <w:rPr>
                <w:rFonts w:ascii="Arial" w:cs="Arial" w:eastAsia="Arial" w:hAnsi="Arial"/>
                <w:sz w:val="16"/>
                <w:szCs w:val="16"/>
                <w:color w:val="auto"/>
              </w:rPr>
              <w:t>Property,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988.8</w:t>
            </w:r>
          </w:p>
        </w:tc>
      </w:tr>
      <w:tr>
        <w:trPr>
          <w:trHeight w:val="21"/>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2026, the Company’s effective tax rate of 22.8% was above the U.S federal rate of 21.0% primarily due to foreign earnings mix, U.S. global intangible low-taxed income (GILTI), and withholding taxes on foreign earnings. These unfavorable items were partially offset by U.S. research and development (R&amp;D) credits, along with favorable foreign permanent items, most notably tax incentives associated with R&amp;D.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jc w:val="both"/>
        <w:spacing w:after="0" w:line="262" w:lineRule="auto"/>
        <w:rPr>
          <w:sz w:val="20"/>
          <w:szCs w:val="20"/>
          <w:color w:val="auto"/>
        </w:rPr>
      </w:pPr>
      <w:r>
        <w:rPr>
          <w:rFonts w:ascii="Arial" w:cs="Arial" w:eastAsia="Arial" w:hAnsi="Arial"/>
          <w:sz w:val="18"/>
          <w:szCs w:val="18"/>
          <w:color w:val="auto"/>
        </w:rPr>
        <w:t>During the three months ended March 31, 2025, the Company's effective tax rate resulted in a benefit of 25.2% as a result of pre-tax loss in the first quarter of 2025. The pre-tax loss was driven by the Company's cloud-based enterprise resource planning system impairment. The 25.2% income tax benefit was higher than the U.S. federal tax rate of 21.0% primarily due to the state and local tax benefit of the pre-tax loss.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2024, Avient received a Notice of Deficiency (Notice) from the U.S. Internal Revenue Service (IRS) proposing an adjustment to the 2019 tax year resulting from a disallowed capital loss. The proposed incremental tax associated with the Notice is $23.8 million plus estimated interest of $7.8 million. We contested the Notice by filing a petition in U.S. Tax Court on March 4, 2025. The IRS' answer to Avient's petition included an additional accuracy-related penalty of $4.8 million and is subject to interest. The Company believes that the proposed penalty is also without merit, and we intend to contest the penalty vigorously in U.S. Tax Court. However, there can be no assurance this dispute with the IRS will be resolved favorably. As of March 31, 2026, the Company has not recorded any income tax provision related to this matter; therefore an unfavorable ruling in U.S. Tax Court or settlement would adversely impact our effective tax rate and result in a cash tax payment.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 consists of the following instruments: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 March 31, 2026 (in millions)</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Principal</w:t>
            </w:r>
          </w:p>
        </w:tc>
        <w:tc>
          <w:tcPr>
            <w:tcW w:w="120" w:type="dxa"/>
            <w:vAlign w:val="bottom"/>
          </w:tcPr>
          <w:p>
            <w:pPr>
              <w:spacing w:after="0"/>
              <w:rPr>
                <w:sz w:val="16"/>
                <w:szCs w:val="16"/>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Unamortized discount</w:t>
            </w:r>
          </w:p>
        </w:tc>
        <w:tc>
          <w:tcPr>
            <w:tcW w:w="220" w:type="dxa"/>
            <w:vAlign w:val="bottom"/>
          </w:tcPr>
          <w:p>
            <w:pPr>
              <w:spacing w:after="0"/>
              <w:rPr>
                <w:sz w:val="16"/>
                <w:szCs w:val="16"/>
                <w:color w:val="auto"/>
              </w:rPr>
            </w:pPr>
          </w:p>
        </w:tc>
        <w:tc>
          <w:tcPr>
            <w:tcW w:w="11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Net Debt</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6"/>
        </w:trPr>
        <w:tc>
          <w:tcPr>
            <w:tcW w:w="4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Amount</w:t>
            </w:r>
          </w:p>
        </w:tc>
        <w:tc>
          <w:tcPr>
            <w:tcW w:w="2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and debt issuance cost</w:t>
            </w:r>
          </w:p>
        </w:tc>
        <w:tc>
          <w:tcPr>
            <w:tcW w:w="2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revolving credit facility due 2030</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Senior secured term loan due 2029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559.8</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5.42 %</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7.125% senior notes due 2030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7.125 %</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6.250% senior notes due 2031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642.5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6.250 %</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1,948.8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1,924.5</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short-term and current portion of long-term debt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6"/>
                <w:szCs w:val="16"/>
                <w:color w:val="auto"/>
              </w:rPr>
              <w:t>Total long-term debt, net of current portion</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1,948.3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1,924.0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 December 31, 2025 (in millions)</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Principal</w:t>
            </w:r>
          </w:p>
        </w:tc>
        <w:tc>
          <w:tcPr>
            <w:tcW w:w="120" w:type="dxa"/>
            <w:vAlign w:val="bottom"/>
          </w:tcPr>
          <w:p>
            <w:pPr>
              <w:spacing w:after="0"/>
              <w:rPr>
                <w:sz w:val="16"/>
                <w:szCs w:val="16"/>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Unamortized discount</w:t>
            </w:r>
          </w:p>
        </w:tc>
        <w:tc>
          <w:tcPr>
            <w:tcW w:w="220" w:type="dxa"/>
            <w:vAlign w:val="bottom"/>
          </w:tcPr>
          <w:p>
            <w:pPr>
              <w:spacing w:after="0"/>
              <w:rPr>
                <w:sz w:val="16"/>
                <w:szCs w:val="16"/>
                <w:color w:val="auto"/>
              </w:rPr>
            </w:pPr>
          </w:p>
        </w:tc>
        <w:tc>
          <w:tcPr>
            <w:tcW w:w="11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Net Debt</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6"/>
        </w:trPr>
        <w:tc>
          <w:tcPr>
            <w:tcW w:w="4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Amount</w:t>
            </w:r>
          </w:p>
        </w:tc>
        <w:tc>
          <w:tcPr>
            <w:tcW w:w="2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and debt issuance cost</w:t>
            </w:r>
          </w:p>
        </w:tc>
        <w:tc>
          <w:tcPr>
            <w:tcW w:w="2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revolving credit facility due 2030</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Senior secured term loan due 2029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6.01 %</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7.125% senior notes due 2030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7.125 %</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6.250% senior notes due 2031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642.1</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6.250 %</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1,948.9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1,923.1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short-term and current portion of long-term debt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6"/>
                <w:szCs w:val="16"/>
                <w:color w:val="auto"/>
              </w:rPr>
              <w:t>Total long-term debt, net of current portion</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1,948.4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1,922.6</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12, 2025, the Company refinanced its senior secured term loan by amending the credit agreement governing such term loan (the Term Loan Amendment). The Term Loan Amendment reduced the interest rate per annum by 25 basis points, which now is either (i) Adjusted Term SOFR (as defined in the Term Loan Amendment) plus 1.75%, or (ii) a Base Rate (as defined in the Term Loan Amendment) plus 0.75%. The maturity date and other terms and conditions are substantially the same as the terms and conditions under the credit agreement immediately prior to the Term Loan Amendment.</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12, 2025, the Company entered into a revolving credit agreement (the Revolving Credit Agreement) with various financial institutions as lenders, and JPMorgan Chase Bank, N.A., as administrative agent, which replaced our previous credit agreement set to mature in 2026. The Revolving Credit Agreement provides for a senior secured revolving credit facility of up to $500.0 million, which may be increased by up to $250.0 million, subject to certain conditions. Loans under the Revolving Credit Agreement will mature on June 12, 2030. The Revolving Credit Agreement contains representations and warranties, affirmative covenants, negative covenants and events of default that are substantially similar to those contained in the Company's existing term loan credit agreement.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1" w:name="page12"/>
    <w:bookmarkEnd w:id="11"/>
    <w:p>
      <w:pPr>
        <w:jc w:val="both"/>
        <w:spacing w:after="0" w:line="287" w:lineRule="auto"/>
        <w:rPr>
          <w:sz w:val="20"/>
          <w:szCs w:val="20"/>
          <w:color w:val="auto"/>
        </w:rPr>
      </w:pPr>
      <w:r>
        <w:rPr>
          <w:rFonts w:ascii="Arial" w:cs="Arial" w:eastAsia="Arial" w:hAnsi="Arial"/>
          <w:sz w:val="18"/>
          <w:szCs w:val="18"/>
          <w:color w:val="auto"/>
        </w:rPr>
        <w:t>During 2025, the Company made voluntary prepayments of $150.0 million on its senior secured term loan, which were applied to the principal installments in direct order of maturity. These prepayments were made without penalty or premium.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we had no borrowings outstanding under the senior secured revolving credit facility.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agreements governing our senior secured revolving credit facility and our senior secured term loan, and the indentures and credit agreements governing our other debt, contain a number of customary financial and restrictive covenants that, among other things, limit our ability to: sell or otherwise transfer assets, including in a spin-off, incur additional debt or liens, consolidate or merge with any entity or transfer or sell all or substantially all of our assets, pay dividends or make certain other restricted payments, make investments, enter into transactions with affiliates, create dividend or other payment restrictions with respect to subsidiaries, make capital investments and alter the business we conduct. As of March 31, 2026, we were in compliance with all covenants.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estimated fair value of Avient’s debt instruments at March 31, 2026 and December 31, 2025 was $1,947.6 million and $1,967.1 million, respectively. The fair value of Avient’s debt instruments was estimated using prevailing market interest rates on debt with similar creditworthiness, terms and maturities and represent Level 2 measurements within the fair value hierarchy.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DERIVATIVES AND HEDGING</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are exposed to market risks, such as changes in foreign currency exchange rates and interest rates. To manage the volatility related to these exposures we may enter into various derivative transactions. We formally assess, designate and document, as a hedge of an underlying exposure, the qualifying derivative instrument that will be accounted for as an accounting hedge at inception. Additionally, we assess both at inception and at least quarterly thereafter, whether the financial instruments used in the hedging transaction are effective at offsetting changes in either the fair values or cash flows of the underlying exposures. In accordance with ASU 2017-12,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(Topic 815): Targeted Improvements to Accounting for Hedging Activities </w:t>
      </w:r>
      <w:r>
        <w:rPr>
          <w:rFonts w:ascii="Arial" w:cs="Arial" w:eastAsia="Arial" w:hAnsi="Arial"/>
          <w:sz w:val="18"/>
          <w:szCs w:val="18"/>
          <w:color w:val="auto"/>
        </w:rPr>
        <w:t>(ASU 2017-12), that ongoing assessment may be done</w:t>
      </w:r>
      <w:r>
        <w:rPr>
          <w:rFonts w:ascii="Arial" w:cs="Arial" w:eastAsia="Arial" w:hAnsi="Arial"/>
          <w:sz w:val="18"/>
          <w:szCs w:val="18"/>
          <w:i w:val="1"/>
          <w:iCs w:val="1"/>
          <w:color w:val="auto"/>
        </w:rPr>
        <w:t xml:space="preserve"> </w:t>
      </w:r>
      <w:r>
        <w:rPr>
          <w:rFonts w:ascii="Arial" w:cs="Arial" w:eastAsia="Arial" w:hAnsi="Arial"/>
          <w:sz w:val="18"/>
          <w:szCs w:val="18"/>
          <w:color w:val="auto"/>
        </w:rPr>
        <w:t>qualitatively for highly effective relationships.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means of mitigating the impact of currency fluctuations on our Euro investments in foreign entities, we have executed cross-currency swaps, in which we pay fixed-rate interest in Euros and receive fixed-rate interest in U.S. dollars related to our future obligations to exchange Euros for U.S. dollars. We designated the cross-currency swaps as net investment hedges of our net investment in our European operations under ASU 2017-12 and applied the spot method to these hedges. The changes in fair value of the derivative instruments that are designated and qualify as hedges of net investments in foreign operations are recognized within A</w:t>
      </w:r>
      <w:r>
        <w:rPr>
          <w:rFonts w:ascii="Arial" w:cs="Arial" w:eastAsia="Arial" w:hAnsi="Arial"/>
          <w:sz w:val="18"/>
          <w:szCs w:val="18"/>
          <w:i w:val="1"/>
          <w:iCs w:val="1"/>
          <w:color w:val="auto"/>
        </w:rPr>
        <w:t>ccumulated Other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 </w:t>
      </w:r>
      <w:r>
        <w:rPr>
          <w:rFonts w:ascii="Arial" w:cs="Arial" w:eastAsia="Arial" w:hAnsi="Arial"/>
          <w:sz w:val="18"/>
          <w:szCs w:val="18"/>
          <w:color w:val="auto"/>
        </w:rPr>
        <w:t>(AOCI) to offset the changes in the values of the net investment being hedged. For the three months ended March 31, 2026, a gain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$54.6 million was recognized within translation adjustments in AOCI, net of tax, compared to losses of $44.3 million, net of tax, for the three months ended March 31, 2025. Included in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Condensed Consolidated Statements of Income</w:t>
      </w:r>
      <w:r>
        <w:rPr>
          <w:rFonts w:ascii="Arial" w:cs="Arial" w:eastAsia="Arial" w:hAnsi="Arial"/>
          <w:sz w:val="18"/>
          <w:szCs w:val="18"/>
          <w:color w:val="auto"/>
        </w:rPr>
        <w:t xml:space="preserve"> is income of $9.0 million, for the three months ended March 31, 2026 and March 31, 2025, respectively, related to interest payments received from counterparties.</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All of our derivative assets and liabilities measured at fair value are classified as Level 2 within the fair value hierarchy. We determine the fair value of our derivatives based on valuation methods, which project future cash flows and discount the future amounts present value using market based observable inputs, including interest rate curves and foreign currency rates. The fair value of derivative financial instruments recognized in the Condensed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March 31, 2026 and December 31, 2025 is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6"/>
                <w:szCs w:val="16"/>
                <w:b w:val="1"/>
                <w:bCs w:val="1"/>
                <w:color w:val="auto"/>
              </w:rPr>
              <w:t>As of March 31, 2026</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Notional Amount</w:t>
            </w:r>
          </w:p>
        </w:tc>
        <w:tc>
          <w:tcPr>
            <w:tcW w:w="120" w:type="dxa"/>
            <w:vAlign w:val="bottom"/>
            <w:shd w:val="clear" w:color="auto" w:fill="CCEEFF"/>
          </w:tcPr>
          <w:p>
            <w:pPr>
              <w:spacing w:after="0"/>
              <w:rPr>
                <w:sz w:val="13"/>
                <w:szCs w:val="13"/>
                <w:color w:val="auto"/>
              </w:rPr>
            </w:pPr>
          </w:p>
        </w:tc>
        <w:tc>
          <w:tcPr>
            <w:tcW w:w="17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Other current assets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center"/>
              <w:ind w:right="240"/>
              <w:spacing w:after="0" w:line="155" w:lineRule="exact"/>
              <w:rPr>
                <w:sz w:val="20"/>
                <w:szCs w:val="20"/>
                <w:color w:val="auto"/>
              </w:rPr>
            </w:pPr>
            <w:r>
              <w:rPr>
                <w:rFonts w:ascii="Arial" w:cs="Arial" w:eastAsia="Arial" w:hAnsi="Arial"/>
                <w:sz w:val="16"/>
                <w:szCs w:val="16"/>
                <w:b w:val="1"/>
                <w:bCs w:val="1"/>
                <w:color w:val="auto"/>
              </w:rPr>
              <w:t>Other non-current</w:t>
            </w:r>
          </w:p>
        </w:tc>
        <w:tc>
          <w:tcPr>
            <w:tcW w:w="20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Other current</w:t>
            </w:r>
          </w:p>
        </w:tc>
        <w:tc>
          <w:tcPr>
            <w:tcW w:w="1580" w:type="dxa"/>
            <w:vAlign w:val="bottom"/>
            <w:gridSpan w:val="2"/>
            <w:shd w:val="clear" w:color="auto" w:fill="CCEEFF"/>
          </w:tcPr>
          <w:p>
            <w:pPr>
              <w:jc w:val="right"/>
              <w:ind w:right="19"/>
              <w:spacing w:after="0" w:line="155" w:lineRule="exact"/>
              <w:rPr>
                <w:sz w:val="20"/>
                <w:szCs w:val="20"/>
                <w:color w:val="auto"/>
              </w:rPr>
            </w:pPr>
            <w:r>
              <w:rPr>
                <w:rFonts w:ascii="Arial" w:cs="Arial" w:eastAsia="Arial" w:hAnsi="Arial"/>
                <w:sz w:val="16"/>
                <w:szCs w:val="16"/>
                <w:b w:val="1"/>
                <w:bCs w:val="1"/>
                <w:color w:val="auto"/>
              </w:rPr>
              <w:t>Other non-current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09"/>
        </w:trPr>
        <w:tc>
          <w:tcPr>
            <w:tcW w:w="2440" w:type="dxa"/>
            <w:vAlign w:val="bottom"/>
          </w:tcPr>
          <w:p>
            <w:pPr>
              <w:ind w:left="300"/>
              <w:spacing w:after="0"/>
              <w:rPr>
                <w:sz w:val="20"/>
                <w:szCs w:val="20"/>
                <w:color w:val="auto"/>
              </w:rPr>
            </w:pPr>
            <w:r>
              <w:rPr>
                <w:rFonts w:ascii="Arial" w:cs="Arial" w:eastAsia="Arial" w:hAnsi="Arial"/>
                <w:sz w:val="16"/>
                <w:szCs w:val="16"/>
                <w:color w:val="auto"/>
              </w:rPr>
              <w:t>Cross-currency swaps</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2,575.4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ind w:left="1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ind w:left="1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76.3</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233.0</w:t>
            </w:r>
          </w:p>
        </w:tc>
        <w:tc>
          <w:tcPr>
            <w:tcW w:w="0" w:type="dxa"/>
            <w:vAlign w:val="bottom"/>
          </w:tcPr>
          <w:p>
            <w:pPr>
              <w:spacing w:after="0"/>
              <w:rPr>
                <w:sz w:val="1"/>
                <w:szCs w:val="1"/>
                <w:color w:val="auto"/>
              </w:rPr>
            </w:pPr>
          </w:p>
        </w:tc>
      </w:tr>
      <w:tr>
        <w:trPr>
          <w:trHeight w:val="257"/>
        </w:trPr>
        <w:tc>
          <w:tcPr>
            <w:tcW w:w="2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rPr>
              <w:t>As of December 31, 2025</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Cross-currency swaps</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shd w:val="clear" w:color="auto" w:fill="CCEEFF"/>
          </w:tcPr>
          <w:p>
            <w:pPr>
              <w:ind w:left="1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9 — 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Avient has two reportable segments: (1) Color, Additives and Inks and (2) Specialty Engineered Materials.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Operating income is the primary segment performance measure that is reported to our chief operating decision maker (CODM), which is the Company's chief executive officer. Our CODM utilizes this measure as an input to determine appropriate resource allocations to our segments in the annual planning process and to periodically assess segment performance, primarily by evaluating actual results in comparison to the annual operating plan and forecast. Operating income at the segment level does not include corporate general and administrative expenses that are not allocated to segments, restructuring charges, share-based compensation costs, environmental remediation costs and associated recoveries, asset impairments, acquisition-related charges, mark-to-market adjustments on pension and other post-retirement obligations, and certain other items that are not included in the measure of segment profit or loss that is reported to and reviewed by our CODM. These costs are included in </w:t>
      </w:r>
      <w:r>
        <w:rPr>
          <w:rFonts w:ascii="Arial" w:cs="Arial" w:eastAsia="Arial" w:hAnsi="Arial"/>
          <w:sz w:val="18"/>
          <w:szCs w:val="18"/>
          <w:i w:val="1"/>
          <w:iCs w:val="1"/>
          <w:color w:val="auto"/>
        </w:rPr>
        <w:t>Corporate</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reportable segment is as follows:</w:t>
      </w:r>
    </w:p>
    <w:p>
      <w:pPr>
        <w:sectPr>
          <w:pgSz w:w="11900" w:h="16838" w:orient="portrait"/>
          <w:cols w:equalWidth="0" w:num="1">
            <w:col w:w="11240"/>
          </w:cols>
          <w:pgMar w:left="320" w:top="998" w:right="339" w:bottom="1440" w:gutter="0" w:footer="0" w:header="0"/>
        </w:sectPr>
      </w:pP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March 31, 2026</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Sales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sales</w:t>
      </w:r>
    </w:p>
    <w:p>
      <w:pPr>
        <w:spacing w:after="0" w:line="32" w:lineRule="exact"/>
        <w:rPr>
          <w:sz w:val="20"/>
          <w:szCs w:val="20"/>
          <w:color w:val="auto"/>
        </w:rPr>
      </w:pPr>
    </w:p>
    <w:p>
      <w:pPr>
        <w:ind w:left="20" w:right="1720"/>
        <w:spacing w:after="0" w:line="290" w:lineRule="auto"/>
        <w:rPr>
          <w:sz w:val="20"/>
          <w:szCs w:val="20"/>
          <w:color w:val="auto"/>
        </w:rPr>
      </w:pPr>
      <w:r>
        <w:rPr>
          <w:rFonts w:ascii="Arial" w:cs="Arial" w:eastAsia="Arial" w:hAnsi="Arial"/>
          <w:sz w:val="16"/>
          <w:szCs w:val="16"/>
          <w:color w:val="auto"/>
        </w:rPr>
        <w:t>Selling and administrative expense Operating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expense,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March 31, 2025</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Sales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sales</w:t>
      </w:r>
    </w:p>
    <w:p>
      <w:pPr>
        <w:spacing w:after="0" w:line="32" w:lineRule="exact"/>
        <w:rPr>
          <w:sz w:val="20"/>
          <w:szCs w:val="20"/>
          <w:color w:val="auto"/>
        </w:rPr>
      </w:pPr>
    </w:p>
    <w:p>
      <w:pPr>
        <w:ind w:left="20" w:right="1720"/>
        <w:spacing w:after="0" w:line="290" w:lineRule="auto"/>
        <w:rPr>
          <w:sz w:val="20"/>
          <w:szCs w:val="20"/>
          <w:color w:val="auto"/>
        </w:rPr>
      </w:pPr>
      <w:r>
        <w:rPr>
          <w:rFonts w:ascii="Arial" w:cs="Arial" w:eastAsia="Arial" w:hAnsi="Arial"/>
          <w:sz w:val="16"/>
          <w:szCs w:val="16"/>
          <w:color w:val="auto"/>
        </w:rPr>
        <w:t>Selling and administrative expense Operating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expense,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Depreciation and amortization:</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Color, Additives and Inks</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Specialty Engineered Materials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Corporate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Depreciation and amortization</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Capital expenditures:</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Color, Additives and Inks</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Specialty Engineered Materials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Corporate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Capital expenditures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Color, Additives and</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Specialty</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4"/>
        </w:trPr>
        <w:tc>
          <w:tcPr>
            <w:tcW w:w="15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Engineered</w:t>
            </w:r>
          </w:p>
        </w:tc>
        <w:tc>
          <w:tcPr>
            <w:tcW w:w="1440" w:type="dxa"/>
            <w:vAlign w:val="bottom"/>
            <w:gridSpan w:val="3"/>
            <w:vMerge w:val="restart"/>
          </w:tcPr>
          <w:p>
            <w:pPr>
              <w:jc w:val="right"/>
              <w:ind w:right="299"/>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Inks</w:t>
            </w: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Materials</w:t>
            </w:r>
          </w:p>
        </w:tc>
        <w:tc>
          <w:tcPr>
            <w:tcW w:w="14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8"/>
        </w:trPr>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528.1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320.2</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Specialty</w:t>
            </w: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Color, Additives and</w:t>
            </w:r>
          </w:p>
        </w:tc>
        <w:tc>
          <w:tcPr>
            <w:tcW w:w="24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15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Engineered</w:t>
            </w:r>
          </w:p>
        </w:tc>
        <w:tc>
          <w:tcPr>
            <w:tcW w:w="1440" w:type="dxa"/>
            <w:vAlign w:val="bottom"/>
            <w:gridSpan w:val="3"/>
            <w:vMerge w:val="restart"/>
          </w:tcPr>
          <w:p>
            <w:pPr>
              <w:jc w:val="right"/>
              <w:ind w:right="299"/>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Inks</w:t>
            </w: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Materials</w:t>
            </w:r>
          </w:p>
        </w:tc>
        <w:tc>
          <w:tcPr>
            <w:tcW w:w="14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8"/>
        </w:trPr>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519.7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346.6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8"/>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8"/>
          </w:tcPr>
          <w:p>
            <w:pPr>
              <w:jc w:val="right"/>
              <w:ind w:right="98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9"/>
              </w:rPr>
              <w:t>2.9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6"/>
        </w:trPr>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w w:val="89"/>
              </w:rPr>
              <w:t>5.4</w:t>
            </w:r>
          </w:p>
        </w:tc>
        <w:tc>
          <w:tcPr>
            <w:tcW w:w="1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w w:val="89"/>
              </w:rPr>
              <w:t>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-4996815</wp:posOffset>
            </wp:positionV>
            <wp:extent cx="706374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63740" cy="1454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-4714240</wp:posOffset>
            </wp:positionV>
            <wp:extent cx="70637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-4431030</wp:posOffset>
            </wp:positionV>
            <wp:extent cx="70637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-4156710</wp:posOffset>
            </wp:positionV>
            <wp:extent cx="706374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63740" cy="16319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-3274060</wp:posOffset>
            </wp:positionV>
            <wp:extent cx="706374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63740" cy="1460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-2990850</wp:posOffset>
            </wp:positionV>
            <wp:extent cx="70637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-2708275</wp:posOffset>
            </wp:positionV>
            <wp:extent cx="70637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-2433955</wp:posOffset>
            </wp:positionV>
            <wp:extent cx="706374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63740" cy="16319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-1610995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-1336675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-1062355</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-728345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-453390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-179705</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720"/>
            <w:col w:w="6280"/>
          </w:cols>
          <w:pgMar w:left="320" w:top="998" w:right="33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4"/>
          </w:tcPr>
          <w:p>
            <w:pPr>
              <w:jc w:val="right"/>
              <w:ind w:right="2019"/>
              <w:spacing w:after="0"/>
              <w:rPr>
                <w:sz w:val="20"/>
                <w:szCs w:val="20"/>
                <w:color w:val="auto"/>
              </w:rPr>
            </w:pPr>
            <w:r>
              <w:rPr>
                <w:rFonts w:ascii="Arial" w:cs="Arial" w:eastAsia="Arial" w:hAnsi="Arial"/>
                <w:sz w:val="16"/>
                <w:szCs w:val="16"/>
                <w:b w:val="1"/>
                <w:bCs w:val="1"/>
                <w:color w:val="auto"/>
              </w:rPr>
              <w:t>Total Assets</w:t>
            </w:r>
          </w:p>
        </w:tc>
      </w:tr>
      <w:tr>
        <w:trPr>
          <w:trHeight w:val="209"/>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8"/>
                <w:szCs w:val="18"/>
                <w:color w:val="auto"/>
              </w:rPr>
            </w:pPr>
          </w:p>
        </w:tc>
        <w:tc>
          <w:tcPr>
            <w:tcW w:w="234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of March 31, 2026</w:t>
            </w:r>
          </w:p>
        </w:tc>
        <w:tc>
          <w:tcPr>
            <w:tcW w:w="220" w:type="dxa"/>
            <w:vAlign w:val="bottom"/>
          </w:tcPr>
          <w:p>
            <w:pPr>
              <w:spacing w:after="0"/>
              <w:rPr>
                <w:sz w:val="18"/>
                <w:szCs w:val="18"/>
                <w:color w:val="auto"/>
              </w:rPr>
            </w:pPr>
          </w:p>
        </w:tc>
        <w:tc>
          <w:tcPr>
            <w:tcW w:w="2320" w:type="dxa"/>
            <w:vAlign w:val="bottom"/>
          </w:tcPr>
          <w:p>
            <w:pPr>
              <w:jc w:val="right"/>
              <w:ind w:right="239"/>
              <w:spacing w:after="0"/>
              <w:rPr>
                <w:sz w:val="20"/>
                <w:szCs w:val="20"/>
                <w:color w:val="auto"/>
              </w:rPr>
            </w:pPr>
            <w:r>
              <w:rPr>
                <w:rFonts w:ascii="Arial" w:cs="Arial" w:eastAsia="Arial" w:hAnsi="Arial"/>
                <w:sz w:val="16"/>
                <w:szCs w:val="16"/>
                <w:b w:val="1"/>
                <w:bCs w:val="1"/>
                <w:color w:val="auto"/>
              </w:rPr>
              <w:t>As of December 31, 2025</w:t>
            </w:r>
          </w:p>
        </w:tc>
      </w:tr>
      <w:tr>
        <w:trPr>
          <w:trHeight w:val="210"/>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Color, Additives and Inks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2,629.0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2,602.4</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Specialty Engineered Materials</w:t>
            </w:r>
          </w:p>
        </w:tc>
        <w:tc>
          <w:tcPr>
            <w:tcW w:w="3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2,566.6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2,578.0</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845.2</w:t>
            </w: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5,944.8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6,025.6</w:t>
            </w:r>
          </w:p>
        </w:tc>
      </w:tr>
      <w:tr>
        <w:trPr>
          <w:trHeight w:val="21"/>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been notified by federal and state environmental agencies and by private parties that we may be a potentially responsible party (PRP) in connection with the environmental investigation and remediation of certain sites. While government agencies frequently assert that PRPs are jointly and severally liable at these sites, in our experience, the interim and final allocations of liability costs are generally made based on the relative contribution of waste. We may also initiate corrective and preventive environmental projects of our own to support safe and lawful activities at our operations. We believe that compliance with current governmental regulations at all levels will not have a material adverse effect on our financial position, results of operations or cash flows.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September 2007, the United States District Court for the Western District of Kentucky (Court) in the case of </w:t>
      </w:r>
      <w:r>
        <w:rPr>
          <w:rFonts w:ascii="Arial" w:cs="Arial" w:eastAsia="Arial" w:hAnsi="Arial"/>
          <w:sz w:val="18"/>
          <w:szCs w:val="18"/>
          <w:i w:val="1"/>
          <w:iCs w:val="1"/>
          <w:color w:val="auto"/>
        </w:rPr>
        <w:t>Westlake Vinyls, Inc. v.</w:t>
      </w:r>
      <w:r>
        <w:rPr>
          <w:rFonts w:ascii="Arial" w:cs="Arial" w:eastAsia="Arial" w:hAnsi="Arial"/>
          <w:sz w:val="18"/>
          <w:szCs w:val="18"/>
          <w:color w:val="auto"/>
        </w:rPr>
        <w:t xml:space="preserve"> </w:t>
      </w:r>
      <w:r>
        <w:rPr>
          <w:rFonts w:ascii="Arial" w:cs="Arial" w:eastAsia="Arial" w:hAnsi="Arial"/>
          <w:sz w:val="18"/>
          <w:szCs w:val="18"/>
          <w:i w:val="1"/>
          <w:iCs w:val="1"/>
          <w:color w:val="auto"/>
        </w:rPr>
        <w:t>Goodrich Corporation, et al</w:t>
      </w:r>
      <w:r>
        <w:rPr>
          <w:rFonts w:ascii="Arial" w:cs="Arial" w:eastAsia="Arial" w:hAnsi="Arial"/>
          <w:sz w:val="18"/>
          <w:szCs w:val="18"/>
          <w:color w:val="auto"/>
        </w:rPr>
        <w:t>., held that Avient must pay the remediation costs at the former Goodrich Corporation Calvert City facility (now</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owned and operated by Westlake Vinyls, Inc. (Westlake Vinyls)), together with certain defense costs of Goodrich Corporation. The rulings also provided that Avient can seek indemnification for contamination attributable to Westlake Vinyls. Following the rulings, the parties to the litigation agreed to settle all claims regarding past environmental costs incurred at the site. The settlement agreement provides a mechanism to pursue allocation of future remediation costs at the Calvert City site to Westlake Vinyls.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environmental obligation at the site arose as a result of an agreement between The B.F. Goodrich Company (n/k/a Goodrich Corporation) and our predecessor, The Geon Company, at the time of the initial public offering in 1993. Under the agreement, The Geon Company agreed to indemnify Goodrich Corporation for certain environmental costs at the site. Neither Avient nor The Geon Company ever operated the facility.</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2009, Avient, along with respondents Westlake Vinyls and Goodrich Corporation, has worked with the United States Environmental Protection Agency (USEPA) to address the remedial activities at the site. The USEPA issued its Record of Decision (ROD) in September 2018. In April 2019, the respondents signed an Administrative Settlement Agreement and Order on Consent with the USEPA to conduct the remedial actions at the site. In February 2020, three companies signed the agreed Consent Decree and remedial action Work Plan, which received Federal Court approval in January 2021.</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2024, the Company finalized the design for the first phase of a barrier wall, as well as an updated remedial action timeline at the site, which resulted in charges of $19.8 million. Construction of the initial barrier wall was completed in the first quarter of 2025. Further, in 2025, the Company recognized charges of $21.3 million associated with incremental investigation and remedial design work deemed necessary based on results of ongoing findings at the site. This incremental work resulted in a two-year extension of the planned remedial action timeline, which also contributed to the charges. The remaining wall designs and construction are expected to be completed in phases through 2030. As the Company completes further design work and begins construction on the remaining sections of the barrier wall and other remedial components, the Company will update its accrual, which was $125.5 million as of March 31, 2026, for any new information as it becomes available.</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Total environmental accruals of $ 134.9 million and $141.2 million are reflected within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Other non-current liabilities </w:t>
      </w:r>
      <w:r>
        <w:rPr>
          <w:rFonts w:ascii="Arial" w:cs="Arial" w:eastAsia="Arial" w:hAnsi="Arial"/>
          <w:sz w:val="18"/>
          <w:szCs w:val="18"/>
          <w:color w:val="auto"/>
        </w:rPr>
        <w:t>in our</w:t>
      </w:r>
      <w:r>
        <w:rPr>
          <w:rFonts w:ascii="Arial" w:cs="Arial" w:eastAsia="Arial" w:hAnsi="Arial"/>
          <w:sz w:val="18"/>
          <w:szCs w:val="18"/>
          <w:i w:val="1"/>
          <w:iCs w:val="1"/>
          <w:color w:val="auto"/>
        </w:rPr>
        <w:t xml:space="preserve"> Condensed Consolidated Balance Sheets </w:t>
      </w:r>
      <w:r>
        <w:rPr>
          <w:rFonts w:ascii="Arial" w:cs="Arial" w:eastAsia="Arial" w:hAnsi="Arial"/>
          <w:sz w:val="18"/>
          <w:szCs w:val="18"/>
          <w:color w:val="auto"/>
        </w:rPr>
        <w:t>as of March 31, 2026 and December 31, 2025,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These undiscounted accruals represent our best estimate of probable future costs that we can reasonably estimate, based upon currently available information and technology and how the remedy will be implemented. It is reasonably possible that we could incur additional costs in excess of the amount accrued, which could be material to our </w:t>
      </w:r>
      <w:r>
        <w:rPr>
          <w:rFonts w:ascii="Arial" w:cs="Arial" w:eastAsia="Arial" w:hAnsi="Arial"/>
          <w:sz w:val="18"/>
          <w:szCs w:val="18"/>
          <w:i w:val="1"/>
          <w:iCs w:val="1"/>
          <w:color w:val="auto"/>
        </w:rPr>
        <w:t>Condensed Consolidated Statements of Income</w:t>
      </w:r>
      <w:r>
        <w:rPr>
          <w:rFonts w:ascii="Arial" w:cs="Arial" w:eastAsia="Arial" w:hAnsi="Arial"/>
          <w:sz w:val="18"/>
          <w:szCs w:val="18"/>
          <w:color w:val="auto"/>
        </w:rPr>
        <w:t>. However, such additional costs cannot be currently estimated as they are dependent upon the results of future testing and findings during the execution of remedial design and remedial action, changes in the Calvert City construction timeline, changes in regulations, technology development, new information, newly discovered conditions and other factors that are not currently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8"/>
          <w:szCs w:val="18"/>
          <w:color w:val="auto"/>
        </w:rPr>
        <w:t xml:space="preserve">During the three months ended March 31, 2026, Avient recognized costs of $3.9 million, primarily associated with the ongoing remedial design and remedial action at Calvert City, compared to costs of $4.9 million recognized during the three months ended March 31, 2025. These costs are recognized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Condensed Consolidated Statements of Income</w:t>
      </w:r>
      <w:r>
        <w:rPr>
          <w:rFonts w:ascii="Arial" w:cs="Arial" w:eastAsia="Arial" w:hAnsi="Arial"/>
          <w:sz w:val="18"/>
          <w:szCs w:val="18"/>
          <w:color w:val="auto"/>
        </w:rPr>
        <w: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received $34.0 million of cash associated with Calvert City insurance recoveries in the first quarter of 2025. The associated gain was recognized in the fourth quarter of 2024. Further insurance recoveries, if any, related to remedial activities at the Calvert City site are expected to be immaterial.</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Avient is subject to a broad range of claims, administrative and legal proceedings such as lawsuits that relate to contractual allegations, tax audits, product claims, personal injuries and employment related matters. Although it is not possible to predict with certainty the outcome or cost of these matters, the Company believes our current reserves are appropriate and these matters will not have a material adverse effect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ind w:right="1300"/>
        <w:spacing w:after="0" w:line="375" w:lineRule="auto"/>
        <w:rPr>
          <w:sz w:val="20"/>
          <w:szCs w:val="20"/>
          <w:color w:val="auto"/>
        </w:rPr>
      </w:pPr>
      <w:r>
        <w:rPr>
          <w:rFonts w:ascii="Arial" w:cs="Arial" w:eastAsia="Arial" w:hAnsi="Arial"/>
          <w:sz w:val="18"/>
          <w:szCs w:val="18"/>
          <w:b w:val="1"/>
          <w:bCs w:val="1"/>
          <w:u w:val="single" w:color="auto"/>
          <w:color w:val="auto"/>
        </w:rPr>
        <w:t xml:space="preserve">ITEM 2. MANAGEMENT’S DISCUSSION AND ANALYSIS OF FINANCIAL CONDITION AND RESULTS OF OPERATIONS </w:t>
      </w:r>
      <w:r>
        <w:rPr>
          <w:rFonts w:ascii="Arial" w:cs="Arial" w:eastAsia="Arial" w:hAnsi="Arial"/>
          <w:sz w:val="18"/>
          <w:szCs w:val="18"/>
          <w:b w:val="1"/>
          <w:bCs w:val="1"/>
          <w:color w:val="auto"/>
        </w:rPr>
        <w:t>Our Business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an innovator of materials solutions to help our customers succeed, while enabling a sustainable world. Our products include specialty engineered materials, performance fibers, advanced composites, and color and additive solutions. We are also a highly specialized developer and manufacturer of performance enhancing additives, liquid colorants and silicone colorants. Headquartered in Avon Lake, Ohio, we have manufacturing sites, research and development facilities, design centers and warehouses around the globe. We provide value to our customers through our ability to link our knowledge of polymers and materials science with our manufacturing and supply chain capabilities to provide value-added solutions to designers, assemblers and processors of materials. When used in this Quarterly Report on Form 10-Q, the terms “we,” “us,” “our,” “Avient” and the “Company” mean Avient Corporation and its consolidated subsidiaries.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 </w:t>
      </w:r>
      <w:r>
        <w:rPr>
          <w:rFonts w:ascii="Arial" w:cs="Arial" w:eastAsia="Arial" w:hAnsi="Arial"/>
          <w:sz w:val="18"/>
          <w:szCs w:val="18"/>
          <w:i w:val="1"/>
          <w:iCs w:val="1"/>
          <w:color w:val="auto"/>
        </w:rPr>
        <w:t>The three months ended March 31, 2026 compared to the three months ended March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2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Variances — Favorable</w:t>
            </w:r>
          </w:p>
        </w:tc>
        <w:tc>
          <w:tcPr>
            <w:tcW w:w="0" w:type="dxa"/>
            <w:vAlign w:val="bottom"/>
          </w:tcPr>
          <w:p>
            <w:pPr>
              <w:spacing w:after="0"/>
              <w:rPr>
                <w:sz w:val="1"/>
                <w:szCs w:val="1"/>
                <w:color w:val="auto"/>
              </w:rPr>
            </w:pPr>
          </w:p>
        </w:tc>
      </w:tr>
      <w:tr>
        <w:trPr>
          <w:trHeight w:val="185"/>
        </w:trPr>
        <w:tc>
          <w:tcPr>
            <w:tcW w:w="6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46"/>
        </w:trPr>
        <w:tc>
          <w:tcPr>
            <w:tcW w:w="6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data)</w:t>
            </w:r>
          </w:p>
        </w:tc>
        <w:tc>
          <w:tcPr>
            <w:tcW w:w="24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85"/>
        </w:trPr>
        <w:tc>
          <w:tcPr>
            <w:tcW w:w="64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847.4</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20.8</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9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9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Selling and administrative expense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85.7</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32.6 %</w:t>
            </w:r>
          </w:p>
        </w:tc>
        <w:tc>
          <w:tcPr>
            <w:tcW w:w="0" w:type="dxa"/>
            <w:vAlign w:val="bottom"/>
          </w:tcPr>
          <w:p>
            <w:pPr>
              <w:spacing w:after="0"/>
              <w:rPr>
                <w:sz w:val="1"/>
                <w:szCs w:val="1"/>
                <w:color w:val="auto"/>
              </w:rPr>
            </w:pPr>
          </w:p>
        </w:tc>
      </w:tr>
      <w:tr>
        <w:trPr>
          <w:trHeight w:val="20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18.2 %</w:t>
            </w:r>
          </w:p>
        </w:tc>
        <w:tc>
          <w:tcPr>
            <w:tcW w:w="0" w:type="dxa"/>
            <w:vAlign w:val="bottom"/>
          </w:tcPr>
          <w:p>
            <w:pPr>
              <w:spacing w:after="0"/>
              <w:rPr>
                <w:sz w:val="1"/>
                <w:szCs w:val="1"/>
                <w:color w:val="auto"/>
              </w:rPr>
            </w:pP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net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646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371.8 %</w:t>
            </w:r>
          </w:p>
        </w:tc>
        <w:tc>
          <w:tcPr>
            <w:tcW w:w="0" w:type="dxa"/>
            <w:vAlign w:val="bottom"/>
          </w:tcPr>
          <w:p>
            <w:pPr>
              <w:spacing w:after="0"/>
              <w:rPr>
                <w:sz w:val="1"/>
                <w:szCs w:val="1"/>
                <w:color w:val="auto"/>
              </w:rPr>
            </w:pP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(346.3)%</w:t>
            </w:r>
          </w:p>
        </w:tc>
        <w:tc>
          <w:tcPr>
            <w:tcW w:w="0" w:type="dxa"/>
            <w:vAlign w:val="bottom"/>
          </w:tcPr>
          <w:p>
            <w:pPr>
              <w:spacing w:after="0"/>
              <w:rPr>
                <w:sz w:val="1"/>
                <w:szCs w:val="1"/>
                <w:color w:val="auto"/>
              </w:rPr>
            </w:pPr>
          </w:p>
        </w:tc>
      </w:tr>
      <w:tr>
        <w:trPr>
          <w:trHeight w:val="192"/>
        </w:trPr>
        <w:tc>
          <w:tcPr>
            <w:tcW w:w="64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380.4 %</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6460" w:type="dxa"/>
            <w:vAlign w:val="bottom"/>
          </w:tcPr>
          <w:p>
            <w:pPr>
              <w:ind w:left="20"/>
              <w:spacing w:after="0"/>
              <w:rPr>
                <w:sz w:val="20"/>
                <w:szCs w:val="20"/>
                <w:color w:val="auto"/>
              </w:rPr>
            </w:pPr>
            <w:r>
              <w:rPr>
                <w:rFonts w:ascii="Arial" w:cs="Arial" w:eastAsia="Arial" w:hAnsi="Arial"/>
                <w:sz w:val="14"/>
                <w:szCs w:val="14"/>
                <w:color w:val="auto"/>
              </w:rPr>
              <w:t>Net income (loss) attributable to Avient common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375.7 %</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460" w:type="dxa"/>
            <w:vAlign w:val="bottom"/>
          </w:tcPr>
          <w:p>
            <w:pPr>
              <w:ind w:left="20"/>
              <w:spacing w:after="0"/>
              <w:rPr>
                <w:sz w:val="20"/>
                <w:szCs w:val="20"/>
                <w:color w:val="auto"/>
              </w:rPr>
            </w:pPr>
            <w:r>
              <w:rPr>
                <w:rFonts w:ascii="Arial" w:cs="Arial" w:eastAsia="Arial" w:hAnsi="Arial"/>
                <w:sz w:val="14"/>
                <w:szCs w:val="14"/>
                <w:color w:val="auto"/>
              </w:rPr>
              <w:t>Earnings (loss) per share attributable to Avient common shareholders - Basic: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per share attributable to Avient common shareholders - Diluted: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increased $ 20.8 million, or 2.5%, for the three months ended March 31, 2026 compared to the three months ended March 31, 2025. Favorable foreign currency impacts were 4.6%, while sales, excluding the impacts of foreign exchange, decreased 2.0%. Sales increases within the building &amp; construction, packaging and healthcare end markets were more than offset by declines in the consumer, transportation and industrial end markets.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Gross margin as a percentage of sales was 32.2% for the three months ended March 31, 2026 compared to 31.8% for the three months ended March 31, 2025. The increase was primarily driven by cost savings from productivity and restructuring actions.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administrative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and administrative expense decreased $85.7 million for the three months ended March 31, 2026, primarily driven by the Company's decision to cease development of the cloud-based enterprise resource planning system, S/4HANA, in 2025, which resulted in an impairment charge of $71.6 million and additional charges of $14.7 million for unpaid contractual obligations for hosting fees.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Interest expense, net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net decreased $4.9 million for the three months ended March 31, 2026, primarily driven by the benefit of reduced interest rates resulting from refinancing activity during 2025, in addition to prepayments on Avient's senior secured term loan totaling $150.0 million during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2026, the Company’s effective tax rate of 22.8% was above the U.S federal rate of 21.0% primarily due to foreign earnings mix, U.S. global intangible low-taxed income (GILTI), and withholding taxes on foreign earnings. These unfavorable items were partially offset by U.S. research and development (R&amp;D) credits, along with favorable foreign permanent items, most notably tax incentives associated with R&amp;D.</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2025, the Company's effective tax rate resulted in a benefit of 25.2% as a result of pre-tax loss in the first quarter of 2025. The pre-tax loss was driven by the Company's cloud-based enterprise resource planning system impairment. The 25.2% income tax benefit was higher than the U.S. federal tax rate of 21.0% primarily due to the state and local tax benefit of the pre-tax loss.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Avient has two reportable segments: (1) Color, Additives and Inks; and (2) Specialty Engineered Materials.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Operating income is the primary segment performance measure that is reported to our chief operating decision maker (CODM), which is the Company's chief executive officer. Our CODM utilizes this measure as an input to determine appropriate resource allocations to our segments in the annual planning process and to periodically assess segment performance, primarily by evaluating actual results in comparison to the annual operating plan and forecast. Operating income at the segment level does not include corporate general and administrative expenses that are not allocated to segments, restructuring charges, share-based compensation costs, environmental remediation costs and associated recoveries, asset impairments, acquisition-related charges, mark-to-market adjustments on pension and other post-retirement obligations, and certain other items that are not included in the measure of segment profit or loss that is reported to and reviewed by our CODM. These costs are included in </w:t>
      </w:r>
      <w:r>
        <w:rPr>
          <w:rFonts w:ascii="Arial" w:cs="Arial" w:eastAsia="Arial" w:hAnsi="Arial"/>
          <w:sz w:val="18"/>
          <w:szCs w:val="18"/>
          <w:i w:val="1"/>
          <w:iCs w:val="1"/>
          <w:color w:val="auto"/>
        </w:rPr>
        <w:t>Corporate</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Sales and Operating Income — </w:t>
      </w:r>
      <w:r>
        <w:rPr>
          <w:rFonts w:ascii="Arial" w:cs="Arial" w:eastAsia="Arial" w:hAnsi="Arial"/>
          <w:sz w:val="18"/>
          <w:szCs w:val="18"/>
          <w:i w:val="1"/>
          <w:iCs w:val="1"/>
          <w:color w:val="auto"/>
        </w:rPr>
        <w:t>The three months ended March 31, 2026 compared to the three months ended March 31, 2025</w:t>
      </w:r>
      <w:r>
        <w:rPr>
          <w:rFonts w:ascii="Times New Roman" w:cs="Times New Roman" w:eastAsia="Times New Roman" w:hAnsi="Times New Roman"/>
          <w:sz w:val="16"/>
          <w:szCs w:val="16"/>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2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Variances — Favorable</w:t>
            </w:r>
          </w:p>
        </w:tc>
      </w:tr>
      <w:tr>
        <w:trPr>
          <w:trHeight w:val="185"/>
        </w:trPr>
        <w:tc>
          <w:tcPr>
            <w:tcW w:w="6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(Unfavorable)</w:t>
            </w:r>
          </w:p>
        </w:tc>
      </w:tr>
      <w:tr>
        <w:trPr>
          <w:trHeight w:val="195"/>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6"/>
                <w:szCs w:val="16"/>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197"/>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5"/>
        </w:trPr>
        <w:tc>
          <w:tcPr>
            <w:tcW w:w="6460" w:type="dxa"/>
            <w:vAlign w:val="bottom"/>
          </w:tcPr>
          <w:p>
            <w:pPr>
              <w:ind w:left="240"/>
              <w:spacing w:after="0"/>
              <w:rPr>
                <w:sz w:val="20"/>
                <w:szCs w:val="20"/>
                <w:color w:val="auto"/>
              </w:rPr>
            </w:pPr>
            <w:r>
              <w:rPr>
                <w:rFonts w:ascii="Arial" w:cs="Arial" w:eastAsia="Arial" w:hAnsi="Arial"/>
                <w:sz w:val="16"/>
                <w:szCs w:val="16"/>
                <w:color w:val="auto"/>
              </w:rPr>
              <w:t>Color, Additives and Inks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528.1</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519.7</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1.6 %</w:t>
            </w:r>
          </w:p>
        </w:tc>
      </w:tr>
      <w:tr>
        <w:trPr>
          <w:trHeight w:val="217"/>
        </w:trPr>
        <w:tc>
          <w:tcPr>
            <w:tcW w:w="6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Specialty Engineered Materials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r>
      <w:tr>
        <w:trPr>
          <w:trHeight w:val="215"/>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Corporate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nm</w:t>
            </w: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sales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r>
      <w:tr>
        <w:trPr>
          <w:trHeight w:val="148"/>
        </w:trPr>
        <w:tc>
          <w:tcPr>
            <w:tcW w:w="6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460" w:type="dxa"/>
            <w:vAlign w:val="bottom"/>
          </w:tcPr>
          <w:p>
            <w:pPr>
              <w:ind w:left="240"/>
              <w:spacing w:after="0"/>
              <w:rPr>
                <w:sz w:val="20"/>
                <w:szCs w:val="20"/>
                <w:color w:val="auto"/>
              </w:rPr>
            </w:pPr>
            <w:r>
              <w:rPr>
                <w:rFonts w:ascii="Arial" w:cs="Arial" w:eastAsia="Arial" w:hAnsi="Arial"/>
                <w:sz w:val="16"/>
                <w:szCs w:val="16"/>
                <w:color w:val="auto"/>
              </w:rPr>
              <w:t>Color, Additives and Inks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3.6 %</w:t>
            </w:r>
          </w:p>
        </w:tc>
      </w:tr>
      <w:tr>
        <w:trPr>
          <w:trHeight w:val="217"/>
        </w:trPr>
        <w:tc>
          <w:tcPr>
            <w:tcW w:w="6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Specialty Engineered Materials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0.6 %</w:t>
            </w:r>
          </w:p>
        </w:tc>
      </w:tr>
      <w:tr>
        <w:trPr>
          <w:trHeight w:val="215"/>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Corporate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73.6 %</w:t>
            </w: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nm</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Color, Additives and Inks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increased $8.4 million, or 1.6%, in the three months ended March 31, 2026 compared to the three months ended March 31, 2025. Favorable foreign currency impacts were 5.1%, while sales, excluding the impacts of foreign exchange, decreased 3.5%. The sales decrease was primarily within the consumer, building &amp; construction and transportation end markets, partially offset by a sales increase in the healthcare end market.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$2.8 million for the three months ended March 31, 2026 compared to the three months ended March 31,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driven by cost savings from productivity and restructuring actions.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Specialty Engineered Materials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increased $11.8 million, or 3.8%, in the three months ended March 31, 2026 compared to the three months ended March 31, 2025. Favorable foreign currency impacts were 3.6%, while sales, excluding the impacts of foreign exchange, increased 0.2%. The sales increase was primarily within the building &amp; construction and packaging end markets, partially offset by sales decreases in the consumer, industrial and transportation end markets.</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Operating income increased $0.3 million for the three months ended March 31, 2026 compared to the three months ended March 31, 2025, primarily driven by higher sales.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Corporate costs decreased $92.0 million for the three months ended March 31, 2026, primarily driven by the Company's decision to cease development of the cloud-based enterprise resource planning system, S/4HANA, in 2025, which resulted in an impairment charge of $71.6 million and additional charges of $14.7 million for unpaid contractual obligations for hosting fees. Further, restructuring charges for the three months ended March 31, 2026 were $5.2 million lower, compared to the three months ended March 31,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objective is to finance our business through operating cash flow and an appropriate mix of debt and equity. By laddering the maturity structure, we avoid concentrations of debt maturities, reducing liquidity risk. We may from time to time seek to retire or purchase our outstanding debt with cash and/or exchanges for equity securities, in open market purchases, privately negotiated transactions or otherwise. We may also seek to repurchase our outstanding common shares. Such repurchases, if any, will depend on prevailing market conditions, our liquidity requirements, contractual restrictions and other factors. The amounts involved have been and may continue to be material.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liquidity as of March 31, 2026 and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232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of March 31, 2026</w:t>
            </w:r>
          </w:p>
        </w:tc>
        <w:tc>
          <w:tcPr>
            <w:tcW w:w="220" w:type="dxa"/>
            <w:vAlign w:val="bottom"/>
          </w:tcPr>
          <w:p>
            <w:pPr>
              <w:spacing w:after="0"/>
              <w:rPr>
                <w:sz w:val="18"/>
                <w:szCs w:val="18"/>
                <w:color w:val="auto"/>
              </w:rPr>
            </w:pPr>
          </w:p>
        </w:tc>
        <w:tc>
          <w:tcPr>
            <w:tcW w:w="2300" w:type="dxa"/>
            <w:vAlign w:val="bottom"/>
          </w:tcPr>
          <w:p>
            <w:pPr>
              <w:jc w:val="right"/>
              <w:ind w:right="219"/>
              <w:spacing w:after="0"/>
              <w:rPr>
                <w:sz w:val="20"/>
                <w:szCs w:val="20"/>
                <w:color w:val="auto"/>
              </w:rPr>
            </w:pPr>
            <w:r>
              <w:rPr>
                <w:rFonts w:ascii="Arial" w:cs="Arial" w:eastAsia="Arial" w:hAnsi="Arial"/>
                <w:sz w:val="16"/>
                <w:szCs w:val="16"/>
                <w:b w:val="1"/>
                <w:bCs w:val="1"/>
                <w:color w:val="auto"/>
              </w:rPr>
              <w:t>As of December 31, 2025</w:t>
            </w:r>
          </w:p>
        </w:tc>
      </w:tr>
      <w:tr>
        <w:trPr>
          <w:trHeight w:val="210"/>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510.5</w:t>
            </w:r>
          </w:p>
        </w:tc>
      </w:tr>
      <w:tr>
        <w:trPr>
          <w:trHeight w:val="21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Revolving credit availability</w:t>
            </w:r>
          </w:p>
        </w:tc>
        <w:tc>
          <w:tcPr>
            <w:tcW w:w="2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490.3</w:t>
            </w:r>
          </w:p>
        </w:tc>
      </w:tr>
      <w:tr>
        <w:trPr>
          <w:trHeight w:val="23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Liquidity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approximately 78% of the Company’s cash and cash equivalents resided outside the United States.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sources of cash needed to satisfy cash requirements for the remainder of 2026 include our cash on hand, cash from operations and available liquidity under our revolving credit facility, if necessary. We believe that these sources will also provide sufficient liquidity to satisfy our expected uses of cash for at least the next twelve months and the foreseeable future thereafter. Expected uses of cash for the remainder of 2026 include interest payments, cash taxes, dividend payments, debt repayments, environmental remediation payments, restructuring payments and capital expenditures.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describes the significant components of cash flows from operating, investing and financing activities for the three months ended March 31, 2026 and 2025.</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u w:val="single" w:color="auto"/>
          <w:color w:val="auto"/>
        </w:rPr>
        <w:t>Operating Activities</w:t>
      </w:r>
      <w:r>
        <w:rPr>
          <w:rFonts w:ascii="Arial" w:cs="Arial" w:eastAsia="Arial" w:hAnsi="Arial"/>
          <w:sz w:val="18"/>
          <w:szCs w:val="18"/>
          <w:b w:val="1"/>
          <w:bCs w:val="1"/>
          <w:i w:val="1"/>
          <w:iCs w:val="1"/>
          <w:color w:val="auto"/>
        </w:rPr>
        <w:t xml:space="preserve"> — </w:t>
      </w:r>
      <w:r>
        <w:rPr>
          <w:rFonts w:ascii="Arial" w:cs="Arial" w:eastAsia="Arial" w:hAnsi="Arial"/>
          <w:sz w:val="18"/>
          <w:szCs w:val="18"/>
          <w:color w:val="auto"/>
        </w:rPr>
        <w:t>Net cash used in operating activities decreased $16.6 million during the three months ended March 31, 2026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March 31, 2025, driven primarily by insurance proceeds of $34.0 million in 2025 for previously incurred losses at the Calvert City site partially offset by lower incentive compensation payments in 2026 associated with 2025 performance and lower working capital investment.</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u w:val="single" w:color="auto"/>
          <w:color w:val="auto"/>
        </w:rPr>
        <w:t>Investing Activities</w:t>
      </w:r>
      <w:r>
        <w:rPr>
          <w:rFonts w:ascii="Arial" w:cs="Arial" w:eastAsia="Arial" w:hAnsi="Arial"/>
          <w:sz w:val="18"/>
          <w:szCs w:val="18"/>
          <w:b w:val="1"/>
          <w:bCs w:val="1"/>
          <w:i w:val="1"/>
          <w:iCs w:val="1"/>
          <w:color w:val="auto"/>
        </w:rPr>
        <w:t xml:space="preserve"> — </w:t>
      </w:r>
      <w:r>
        <w:rPr>
          <w:rFonts w:ascii="Arial" w:cs="Arial" w:eastAsia="Arial" w:hAnsi="Arial"/>
          <w:sz w:val="18"/>
          <w:szCs w:val="18"/>
          <w:color w:val="auto"/>
        </w:rPr>
        <w:t>Net cash used in investing activities during the three months ended March 31, 2026 and 2025 of $19.0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$12.5 million, respectively, reflects the impact of capital expenditures.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u w:val="single" w:color="auto"/>
          <w:color w:val="auto"/>
        </w:rPr>
        <w:t>Financing Activities</w:t>
      </w:r>
      <w:r>
        <w:rPr>
          <w:rFonts w:ascii="Arial" w:cs="Arial" w:eastAsia="Arial" w:hAnsi="Arial"/>
          <w:sz w:val="18"/>
          <w:szCs w:val="18"/>
          <w:b w:val="1"/>
          <w:bCs w:val="1"/>
          <w:i w:val="1"/>
          <w:iCs w:val="1"/>
          <w:color w:val="auto"/>
        </w:rPr>
        <w:t xml:space="preserve"> — </w:t>
      </w:r>
      <w:r>
        <w:rPr>
          <w:rFonts w:ascii="Arial" w:cs="Arial" w:eastAsia="Arial" w:hAnsi="Arial"/>
          <w:sz w:val="18"/>
          <w:szCs w:val="18"/>
          <w:color w:val="auto"/>
        </w:rPr>
        <w:t>Net cash used in financing activities for the three months ended March 31, 2026 and 2025 of $27.8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$28.3 million, respectively, primarily reflects dividend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aggregate maturities of the principal amount of debt for the current year, next four years and thereafter,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7"/>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9800" w:type="dxa"/>
            <w:vAlign w:val="bottom"/>
          </w:tcPr>
          <w:p>
            <w:pPr>
              <w:ind w:left="20"/>
              <w:spacing w:after="0"/>
              <w:rPr>
                <w:sz w:val="20"/>
                <w:szCs w:val="20"/>
                <w:color w:val="auto"/>
              </w:rPr>
            </w:pPr>
            <w:r>
              <w:rPr>
                <w:rFonts w:ascii="Arial" w:cs="Arial" w:eastAsia="Arial" w:hAnsi="Arial"/>
                <w:sz w:val="16"/>
                <w:szCs w:val="16"/>
                <w:color w:val="auto"/>
              </w:rPr>
              <w:t>2027</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9800" w:type="dxa"/>
            <w:vAlign w:val="bottom"/>
          </w:tcPr>
          <w:p>
            <w:pPr>
              <w:ind w:left="20"/>
              <w:spacing w:after="0"/>
              <w:rPr>
                <w:sz w:val="20"/>
                <w:szCs w:val="20"/>
                <w:color w:val="auto"/>
              </w:rPr>
            </w:pPr>
            <w:r>
              <w:rPr>
                <w:rFonts w:ascii="Arial" w:cs="Arial" w:eastAsia="Arial" w:hAnsi="Arial"/>
                <w:sz w:val="16"/>
                <w:szCs w:val="16"/>
                <w:color w:val="auto"/>
              </w:rPr>
              <w:t>2029</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571.1</w:t>
            </w:r>
          </w:p>
        </w:tc>
      </w:tr>
      <w:tr>
        <w:trPr>
          <w:trHeight w:val="217"/>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725.5</w:t>
            </w:r>
          </w:p>
        </w:tc>
      </w:tr>
      <w:tr>
        <w:trPr>
          <w:trHeight w:val="215"/>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651.0</w:t>
            </w:r>
          </w:p>
        </w:tc>
      </w:tr>
      <w:tr>
        <w:trPr>
          <w:trHeight w:val="235"/>
        </w:trPr>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Aggregate maturities</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12, 2025, the Company refinanced its senior secured term loan by amending the credit agreement governing such term loan (the Term Loan Amendment). The Term Loan Amendment reduced the interest rate per annum by 25 basis points, which now is either (i) Adjusted Term SOFR (as defined in the Term Loan Amendment) plus 1.75%, or (ii) a Base Rate (as defined in the Term Loan Amendment) plus 0.75%. The maturity date and other terms and conditions are substantially the same as the terms and conditions under the credit agreement immediately prior to the Term Loan Amendment.</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12, 2025, the Company entered into a revolving credit agreement (the Revolving Credit Agreement) with various financial institutions as lenders, and JPMorgan Chase Bank, N.A., as administrative agent, which replaced our previous credit agreement set to mature in 2026. The Revolving Credit Agreement provides for a senior secured revolving credit facility of up to $500.0 million, which may be increased by up to $250.0 million, subject to certain conditions. Loans under the Revolving Credit Agreement will mature on June 12, 2030. The Revolving Credit Agreement contains representations and warranties, affirmative covenants, negative covenants and events of default that are substantially similar to those contained in the Company's existing term loan credit agreement.</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2025, the Company made voluntary prepayments of $150.0 million on its senior secured term loan, which were applied to the principal installments in direct order of maturity. These prepayments were made without penalty or premium.</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As of March 31, 2026, we were in compliance with all financial and restrictive covenants pertaining to our debt. For additional information regarding our debt, please see Note 7, </w:t>
      </w:r>
      <w:r>
        <w:rPr>
          <w:rFonts w:ascii="Arial" w:cs="Arial" w:eastAsia="Arial" w:hAnsi="Arial"/>
          <w:sz w:val="18"/>
          <w:szCs w:val="18"/>
          <w:i w:val="1"/>
          <w:iCs w:val="1"/>
          <w:color w:val="auto"/>
        </w:rPr>
        <w:t>Financing Arrangements,</w:t>
      </w:r>
      <w:r>
        <w:rPr>
          <w:rFonts w:ascii="Arial" w:cs="Arial" w:eastAsia="Arial" w:hAnsi="Arial"/>
          <w:sz w:val="18"/>
          <w:szCs w:val="18"/>
          <w:color w:val="auto"/>
        </w:rPr>
        <w:t xml:space="preserve"> to the accompanying condensed consolidated financial statements</w:t>
      </w:r>
      <w:r>
        <w:rPr>
          <w:rFonts w:ascii="Arial" w:cs="Arial" w:eastAsia="Arial" w:hAnsi="Arial"/>
          <w:sz w:val="18"/>
          <w:szCs w:val="18"/>
          <w:i w:val="1"/>
          <w:i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are exposed to market risks, such as changes in foreign currency exchange rates and interest rates. To manage the volatility related to these exposures we may enter into various derivative transactions. For additional information regarding our derivative instruments, please see Note 8,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to the accompanying condensed consolidated financial statements</w:t>
      </w:r>
      <w:r>
        <w:rPr>
          <w:rFonts w:ascii="Arial" w:cs="Arial" w:eastAsia="Arial" w:hAnsi="Arial"/>
          <w:sz w:val="18"/>
          <w:szCs w:val="18"/>
          <w:i w:val="1"/>
          <w:i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future obligations under various contracts relating to debt and interest payments, operating leases, pension and post-retirement benefit plans, purchase obligations, restructuring payments and environmental remediation obligations. During the three months ended March 31, 2026, there were no material changes to these obligations as reported in our Annual Report on Form 10-K for the year ended December 31, 2025.</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this Quarterly Report on Form 10-Q, statements that are not reported financial results or other historical information are “forward-looking statements” within the meaning of the Private Securities Litigation Reform Act of 1995. Forward-looking statements give current expectations or forecasts of future events and are not guarantees of future performance. They are based on management’s expectations that involve a number of business risks and uncertainties, any of which could cause actual results to differ materially from those expressed in or implied by the forward-looking statements. You can identify these statements by the fact that they do not relate strictly to historic or current facts. They use words such as "will," “anticipate,” “estimate,” “expect,” “project,” “intend,” “plan,” “believe” and other words and terms of similar meaning in connection with any discussion of future operating or financial condition, performance and/or sales. In particular, these include statements relating to future actions; prospective changes in raw material costs, product pricing or product demand; future performance; estimated capital expenditures; results of current and anticipated market conditions and market strategies; sales efforts; expenses; the outcome of contingencies such as legal proceedings and environmental liabilities; and financial results. Factors that could cause actual results to differ materially from those implied by these forward-looking statements include, but are not limited to:</w:t>
      </w:r>
    </w:p>
    <w:p>
      <w:pPr>
        <w:spacing w:after="0" w:line="74" w:lineRule="exact"/>
        <w:rPr>
          <w:sz w:val="20"/>
          <w:szCs w:val="20"/>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uncertainty or volatility in the global credit markets that could adversely impact the availability of credit already arranged and the availability and cost of credit in the future;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on foreign operations of currency fluctuations, tariffs and other political, economic and regulatory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or inefficiencies in our supply chain, logistics, or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and regulations in jurisdictions where we conduct business, including with respect to plastics and climate change;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foreign trade policy, including new or increased tariffs and changing import/export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raw material prices, quality and supply, and in energy prices and supply;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production outages or material costs associated with scheduled or unscheduled maintenance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developments that could occur with respect to contingencies such as litigation and environmental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regular quarterly cash dividends and the amounts and timing of any future dividends;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systems failures, cybersecurity breaches and cyberattacks;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indebtedness and restrictions on our current and future operations due to our indebtedness;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for cash and non-cash charges related to restructuring plans that may differ from original estimates, including because of timing changes associated with the underlying actions;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affecting our business beyond our control, including without limitation, changes in the general economy, changes in interest rates, changes in the rate of inflation, geopolitical conflicts, tariffs and any recessionary conditions;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described in our Annual Report on Form 10-K for the year ended December 31, 2025 under Item 1A, “Risk Factors.”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cannot guarantee that any forward-looking statement will be realized, although we believe we have been prudent in our plans and assumptions. Achievement of future results is subject to risks, uncertainties and assumptions. Should known or unknown risks or uncertainties materialize, or should underlying assumptions prove inaccurate, actual results could vary materially from those anticipated, estimated or projected. Investors should bear this in mind as they consider forward-looking statements. We undertake no obligation to publicly update forward-looking statements, whether as a result of new information, future events or otherwise, except as otherwise required by law. You are advised, however, to consult any further disclosures we make on related subjects in our reports on Forms 10 -Q, 8-K and 10-K filed with the Securities and Exchange Commission. You should understand that it is not possible to predict or identify all risk factors. Consequently, you should not consider any such list to be a complete set of all potential risks or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to exposures to market risk as reported in our Annual Report on Form 10-K for the year ended December 31, 2025.</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Avient’s management, under the supervision of and with the participation of its Chief Executive Officer and its Chief Financial Officer, has evaluated the effectiveness of the design and operation of Avient’s disclosure controls and procedures, as defined in Rules 13a-15(e) and 15d-15(e) under the Securities Exchange Act of 1934, as of the end of the period covered by this Quarterly Report. Based upon this evaluation, Avient’s Chief Executive Officer and Chief Financial Officer have concluded that, as of the end of the period covered by this Quarterly Report, its disclosure controls and procedures were effective.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changes in Avient’s internal control over financial reporting during the quarter ended March 31, 2026 that materially affected, or are reasonably likely to materially affect, its internal control over financial reporting.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Information regarding certain legal proceedings can be found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accompanying condensed consolidated financial statements and is incorporated by reference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face a number of risks that could adversely affect our business, results of operations, financial position or cash flows. A discussion of our risk factors can be found in Item 1A, Risk factors, in our Annual Report on Form 10-K for the fiscal year ended December 31, 2025. During the three months ended March 31, 2026, there have been no material changes to the risk factors that were previously disclosed.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regarding the repurchase of shares of our common shares during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Weighted Average</w:t>
            </w:r>
          </w:p>
        </w:tc>
        <w:tc>
          <w:tcPr>
            <w:tcW w:w="13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 that May</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Number of</w:t>
            </w:r>
          </w:p>
        </w:tc>
        <w:tc>
          <w:tcPr>
            <w:tcW w:w="1500" w:type="dxa"/>
            <w:vAlign w:val="bottom"/>
            <w:gridSpan w:val="3"/>
            <w:vMerge w:val="continue"/>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as Part of Publicly</w:t>
            </w: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Price Paid Per</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Announced</w:t>
            </w: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 the Program</w:t>
            </w:r>
          </w:p>
        </w:tc>
        <w:tc>
          <w:tcPr>
            <w:tcW w:w="0" w:type="dxa"/>
            <w:vAlign w:val="bottom"/>
          </w:tcPr>
          <w:p>
            <w:pPr>
              <w:spacing w:after="0"/>
              <w:rPr>
                <w:sz w:val="1"/>
                <w:szCs w:val="1"/>
                <w:color w:val="auto"/>
              </w:rPr>
            </w:pPr>
          </w:p>
        </w:tc>
      </w:tr>
      <w:tr>
        <w:trPr>
          <w:trHeight w:val="95"/>
        </w:trPr>
        <w:tc>
          <w:tcPr>
            <w:tcW w:w="518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Period</w:t>
            </w:r>
          </w:p>
        </w:tc>
        <w:tc>
          <w:tcPr>
            <w:tcW w:w="150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8"/>
                <w:szCs w:val="8"/>
                <w:color w:val="auto"/>
              </w:rPr>
            </w:pPr>
          </w:p>
        </w:tc>
        <w:tc>
          <w:tcPr>
            <w:tcW w:w="13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rPr>
              <w:t>Share</w:t>
            </w: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Program</w:t>
            </w:r>
          </w:p>
        </w:tc>
        <w:tc>
          <w:tcPr>
            <w:tcW w:w="1500" w:type="dxa"/>
            <w:vAlign w:val="bottom"/>
            <w:gridSpan w:val="2"/>
          </w:tcPr>
          <w:p>
            <w:pPr>
              <w:jc w:val="center"/>
              <w:ind w:left="50"/>
              <w:spacing w:after="0" w:line="95" w:lineRule="exact"/>
              <w:rPr>
                <w:sz w:val="20"/>
                <w:szCs w:val="20"/>
                <w:color w:val="auto"/>
              </w:rPr>
            </w:pPr>
            <w:r>
              <w:rPr>
                <w:rFonts w:ascii="Arial" w:cs="Arial" w:eastAsia="Arial" w:hAnsi="Arial"/>
                <w:sz w:val="9"/>
                <w:szCs w:val="9"/>
                <w:b w:val="1"/>
                <w:bCs w:val="1"/>
                <w:color w:val="auto"/>
                <w:w w:val="90"/>
              </w:rPr>
              <w:t>(1)</w:t>
            </w:r>
          </w:p>
        </w:tc>
        <w:tc>
          <w:tcPr>
            <w:tcW w:w="0" w:type="dxa"/>
            <w:vAlign w:val="bottom"/>
          </w:tcPr>
          <w:p>
            <w:pPr>
              <w:spacing w:after="0"/>
              <w:rPr>
                <w:sz w:val="1"/>
                <w:szCs w:val="1"/>
                <w:color w:val="auto"/>
              </w:rPr>
            </w:pPr>
          </w:p>
        </w:tc>
      </w:tr>
      <w:tr>
        <w:trPr>
          <w:trHeight w:val="54"/>
        </w:trPr>
        <w:tc>
          <w:tcPr>
            <w:tcW w:w="5180" w:type="dxa"/>
            <w:vAlign w:val="bottom"/>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January 1 to January 31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4,957,472</w:t>
            </w: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February 1 to February 28</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4,957,472</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to March 31</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4,957,472</w:t>
            </w: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180" w:hanging="172"/>
        <w:spacing w:after="0"/>
        <w:tabs>
          <w:tab w:leader="none" w:pos="22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Our Board of Directors approved a common share repurchase program authorizing Avient to purchase its common shares in August 2008, which share repurchase authorization has been subsequently increased from time to time. On December 9, 2020, we announced that we would increase our share buyback by an additional 5.0 million shares. As of March 31, 2026, approximately 5.0 million shares remained available for purchase under these authorizations, which have no expiration. Purchases of common shares may be made by open market purchases or privately negotiated transactions and may be made pursuant to Rule 10b5-1 plans and accelerated share repurchases.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Arrangements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None of the Company's directors or officers (as defined in Rule 16a-1(f) promulgated under the Securities Exchange Act of 1934) adopted, modified, or terminated a “Rule 10b5-1 trading arrangement” or a “non-Rule 10b5-1 trading arrangement,” as each term is defined in Item 408 of Regulation S-K, during the Company's fiscal quarter ended March 31, 2026.</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40" w:type="dxa"/>
            <w:vAlign w:val="bottom"/>
            <w:gridSpan w:val="10"/>
          </w:tcPr>
          <w:p>
            <w:pPr>
              <w:ind w:left="380"/>
              <w:spacing w:after="0"/>
              <w:rPr>
                <w:sz w:val="20"/>
                <w:szCs w:val="20"/>
                <w:color w:val="auto"/>
              </w:rPr>
            </w:pPr>
            <w:r>
              <w:rPr>
                <w:rFonts w:ascii="Arial" w:cs="Arial" w:eastAsia="Arial" w:hAnsi="Arial"/>
                <w:sz w:val="18"/>
                <w:szCs w:val="18"/>
                <w:b w:val="1"/>
                <w:bCs w:val="1"/>
                <w:color w:val="auto"/>
              </w:rPr>
              <w:t>EXHIBIT INDEX</w:t>
            </w:r>
          </w:p>
        </w:tc>
      </w:tr>
      <w:tr>
        <w:trPr>
          <w:trHeight w:val="217"/>
        </w:trPr>
        <w:tc>
          <w:tcPr>
            <w:tcW w:w="1160" w:type="dxa"/>
            <w:vAlign w:val="bottom"/>
            <w:gridSpan w:val="6"/>
          </w:tcPr>
          <w:p>
            <w:pPr>
              <w:spacing w:after="0"/>
              <w:rPr>
                <w:sz w:val="20"/>
                <w:szCs w:val="20"/>
                <w:color w:val="auto"/>
              </w:rPr>
            </w:pPr>
            <w:r>
              <w:rPr>
                <w:rFonts w:ascii="Arial" w:cs="Arial" w:eastAsia="Arial" w:hAnsi="Arial"/>
                <w:sz w:val="14"/>
                <w:szCs w:val="14"/>
                <w:b w:val="1"/>
                <w:bCs w:val="1"/>
                <w:color w:val="auto"/>
              </w:rPr>
              <w:t>Exhibit No.</w:t>
            </w:r>
          </w:p>
        </w:tc>
        <w:tc>
          <w:tcPr>
            <w:tcW w:w="10020" w:type="dxa"/>
            <w:vAlign w:val="bottom"/>
            <w:gridSpan w:val="13"/>
          </w:tcPr>
          <w:p>
            <w:pPr>
              <w:spacing w:after="0"/>
              <w:rPr>
                <w:sz w:val="20"/>
                <w:szCs w:val="20"/>
                <w:color w:val="auto"/>
              </w:rPr>
            </w:pPr>
            <w:r>
              <w:rPr>
                <w:rFonts w:ascii="Arial" w:cs="Arial" w:eastAsia="Arial" w:hAnsi="Arial"/>
                <w:sz w:val="14"/>
                <w:szCs w:val="14"/>
                <w:b w:val="1"/>
                <w:bCs w:val="1"/>
                <w:color w:val="auto"/>
              </w:rPr>
              <w:t>Exhibit Description</w:t>
            </w:r>
          </w:p>
        </w:tc>
      </w:tr>
      <w:tr>
        <w:trPr>
          <w:trHeight w:val="197"/>
        </w:trPr>
        <w:tc>
          <w:tcPr>
            <w:tcW w:w="340" w:type="dxa"/>
            <w:vAlign w:val="bottom"/>
            <w:tcBorders>
              <w:top w:val="single" w:sz="8" w:color="auto"/>
            </w:tcBorders>
            <w:gridSpan w:val="2"/>
          </w:tcPr>
          <w:p>
            <w:pPr>
              <w:spacing w:after="0"/>
              <w:rPr>
                <w:rFonts w:ascii="Arial" w:cs="Arial" w:eastAsia="Arial" w:hAnsi="Arial"/>
                <w:sz w:val="14"/>
                <w:szCs w:val="14"/>
                <w:color w:val="0000FF"/>
              </w:rPr>
            </w:pPr>
            <w:hyperlink r:id="rId48">
              <w:r>
                <w:rPr>
                  <w:rFonts w:ascii="Arial" w:cs="Arial" w:eastAsia="Arial" w:hAnsi="Arial"/>
                  <w:sz w:val="14"/>
                  <w:szCs w:val="14"/>
                  <w:color w:val="0000FF"/>
                </w:rPr>
                <w:t>3.</w:t>
              </w:r>
              <w:r>
                <w:rPr>
                  <w:rFonts w:ascii="Arial" w:cs="Arial" w:eastAsia="Arial" w:hAnsi="Arial"/>
                  <w:sz w:val="14"/>
                  <w:szCs w:val="14"/>
                  <w:u w:val="single" w:color="auto"/>
                  <w:color w:val="0000FF"/>
                </w:rPr>
                <w:t>1</w:t>
              </w:r>
            </w:hyperlink>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tcBorders>
              <w:top w:val="single" w:sz="8" w:color="auto"/>
            </w:tcBorders>
            <w:gridSpan w:val="13"/>
          </w:tcPr>
          <w:p>
            <w:pPr>
              <w:spacing w:after="0"/>
              <w:rPr>
                <w:rFonts w:ascii="Arial" w:cs="Arial" w:eastAsia="Arial" w:hAnsi="Arial"/>
                <w:sz w:val="14"/>
                <w:szCs w:val="14"/>
                <w:color w:val="0000FF"/>
              </w:rPr>
            </w:pPr>
            <w:hyperlink r:id="rId48">
              <w:r>
                <w:rPr>
                  <w:rFonts w:ascii="Arial" w:cs="Arial" w:eastAsia="Arial" w:hAnsi="Arial"/>
                  <w:sz w:val="14"/>
                  <w:szCs w:val="14"/>
                  <w:color w:val="0000FF"/>
                </w:rPr>
                <w:t>Amended and Restated Articles of Incorporation of Avient Corporation (as amended through June 30, 2020) (incorporated by reference to Exhibit 3.1 to the</w:t>
              </w:r>
            </w:hyperlink>
          </w:p>
        </w:tc>
      </w:tr>
      <w:tr>
        <w:trPr>
          <w:trHeight w:val="128"/>
        </w:trPr>
        <w:tc>
          <w:tcPr>
            <w:tcW w:w="20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48">
              <w:r>
                <w:rPr>
                  <w:rFonts w:ascii="Arial" w:cs="Arial" w:eastAsia="Arial" w:hAnsi="Arial"/>
                  <w:sz w:val="14"/>
                  <w:szCs w:val="14"/>
                  <w:color w:val="0000FF"/>
                </w:rPr>
                <w:t>Company's Annual Report on Form 10-K for the fiscal year ended December 31, 2020, SEC File No. 1-16091)</w:t>
              </w:r>
            </w:hyperlink>
          </w:p>
        </w:tc>
        <w:tc>
          <w:tcPr>
            <w:tcW w:w="2860" w:type="dxa"/>
            <w:vAlign w:val="bottom"/>
            <w:tcBorders>
              <w:top w:val="single" w:sz="8" w:color="0000FF"/>
            </w:tcBorders>
            <w:gridSpan w:val="5"/>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23"/>
        </w:trPr>
        <w:tc>
          <w:tcPr>
            <w:tcW w:w="340" w:type="dxa"/>
            <w:vAlign w:val="bottom"/>
            <w:gridSpan w:val="2"/>
          </w:tcPr>
          <w:p>
            <w:pPr>
              <w:spacing w:after="0"/>
              <w:rPr>
                <w:rFonts w:ascii="Arial" w:cs="Arial" w:eastAsia="Arial" w:hAnsi="Arial"/>
                <w:sz w:val="14"/>
                <w:szCs w:val="14"/>
                <w:color w:val="0000FF"/>
              </w:rPr>
            </w:pPr>
            <w:hyperlink r:id="rId49">
              <w:r>
                <w:rPr>
                  <w:rFonts w:ascii="Arial" w:cs="Arial" w:eastAsia="Arial" w:hAnsi="Arial"/>
                  <w:sz w:val="14"/>
                  <w:szCs w:val="14"/>
                  <w:color w:val="0000FF"/>
                </w:rPr>
                <w:t>3.</w:t>
              </w:r>
              <w:r>
                <w:rPr>
                  <w:rFonts w:ascii="Arial" w:cs="Arial" w:eastAsia="Arial" w:hAnsi="Arial"/>
                  <w:sz w:val="14"/>
                  <w:szCs w:val="14"/>
                  <w:u w:val="single" w:color="auto"/>
                  <w:color w:val="0000FF"/>
                </w:rPr>
                <w:t>2</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13"/>
          </w:tcPr>
          <w:p>
            <w:pPr>
              <w:spacing w:after="0"/>
              <w:rPr>
                <w:rFonts w:ascii="Arial" w:cs="Arial" w:eastAsia="Arial" w:hAnsi="Arial"/>
                <w:sz w:val="14"/>
                <w:szCs w:val="14"/>
                <w:color w:val="0000FF"/>
              </w:rPr>
            </w:pPr>
            <w:hyperlink r:id="rId49">
              <w:r>
                <w:rPr>
                  <w:rFonts w:ascii="Arial" w:cs="Arial" w:eastAsia="Arial" w:hAnsi="Arial"/>
                  <w:sz w:val="14"/>
                  <w:szCs w:val="14"/>
                  <w:color w:val="0000FF"/>
                </w:rPr>
                <w:t>Avient Corporation Regulations (amended and restated effective May 11, 2023) (incorporated by reference to Exhibit 3.1 to the Company's Current Report on</w:t>
              </w:r>
            </w:hyperlink>
          </w:p>
        </w:tc>
      </w:tr>
      <w:tr>
        <w:trPr>
          <w:trHeight w:val="129"/>
        </w:trPr>
        <w:tc>
          <w:tcPr>
            <w:tcW w:w="20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rPr>
            </w:pPr>
            <w:hyperlink r:id="rId49">
              <w:r>
                <w:rPr>
                  <w:rFonts w:ascii="Arial" w:cs="Arial" w:eastAsia="Arial" w:hAnsi="Arial"/>
                  <w:sz w:val="14"/>
                  <w:szCs w:val="14"/>
                  <w:color w:val="0000FF"/>
                </w:rPr>
                <w:t>Form 8-K, filed May 16, 2023, SEC File No. 1-16091)</w:t>
              </w:r>
            </w:hyperlink>
          </w:p>
        </w:tc>
        <w:tc>
          <w:tcPr>
            <w:tcW w:w="660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23"/>
        </w:trPr>
        <w:tc>
          <w:tcPr>
            <w:tcW w:w="1160" w:type="dxa"/>
            <w:vAlign w:val="bottom"/>
            <w:gridSpan w:val="6"/>
          </w:tcPr>
          <w:p>
            <w:pPr>
              <w:spacing w:after="0"/>
              <w:rPr>
                <w:rFonts w:ascii="Arial" w:cs="Arial" w:eastAsia="Arial" w:hAnsi="Arial"/>
                <w:sz w:val="14"/>
                <w:szCs w:val="14"/>
                <w:color w:val="0000FF"/>
              </w:rPr>
            </w:pPr>
            <w:hyperlink r:id="rId50">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10020" w:type="dxa"/>
            <w:vAlign w:val="bottom"/>
            <w:gridSpan w:val="13"/>
          </w:tcPr>
          <w:p>
            <w:pPr>
              <w:spacing w:after="0"/>
              <w:rPr>
                <w:rFonts w:ascii="Arial" w:cs="Arial" w:eastAsia="Arial" w:hAnsi="Arial"/>
                <w:sz w:val="14"/>
                <w:szCs w:val="14"/>
                <w:color w:val="0000FF"/>
              </w:rPr>
            </w:pPr>
            <w:hyperlink r:id="rId50">
              <w:r>
                <w:rPr>
                  <w:rFonts w:ascii="Arial" w:cs="Arial" w:eastAsia="Arial" w:hAnsi="Arial"/>
                  <w:sz w:val="14"/>
                  <w:szCs w:val="14"/>
                  <w:color w:val="0000FF"/>
                </w:rPr>
                <w:t>Form of 2026 Award Agreement under the Avient Corporation 2020 Equity and Incentive Compensation Plan (incorporated by reference to Exhibit 10.29 to</w:t>
              </w:r>
            </w:hyperlink>
          </w:p>
        </w:tc>
      </w:tr>
      <w:tr>
        <w:trPr>
          <w:trHeight w:val="128"/>
        </w:trPr>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4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50">
              <w:r>
                <w:rPr>
                  <w:rFonts w:ascii="Arial" w:cs="Arial" w:eastAsia="Arial" w:hAnsi="Arial"/>
                  <w:sz w:val="14"/>
                  <w:szCs w:val="14"/>
                  <w:color w:val="0000FF"/>
                </w:rPr>
                <w:t>the Company's Annual Report on Form 10-K for the fiscal year ended December 31, 2025, SEC File No. 1-16091)</w:t>
              </w:r>
            </w:hyperlink>
          </w:p>
        </w:tc>
        <w:tc>
          <w:tcPr>
            <w:tcW w:w="2580" w:type="dxa"/>
            <w:vAlign w:val="bottom"/>
            <w:tcBorders>
              <w:top w:val="single" w:sz="8" w:color="0000FF"/>
            </w:tcBorders>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23"/>
        </w:trPr>
        <w:tc>
          <w:tcPr>
            <w:tcW w:w="1040" w:type="dxa"/>
            <w:vAlign w:val="bottom"/>
            <w:gridSpan w:val="5"/>
          </w:tcPr>
          <w:p>
            <w:pPr>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1**</w:t>
            </w:r>
          </w:p>
        </w:tc>
        <w:tc>
          <w:tcPr>
            <w:tcW w:w="120" w:type="dxa"/>
            <w:vAlign w:val="bottom"/>
          </w:tcPr>
          <w:p>
            <w:pPr>
              <w:spacing w:after="0"/>
              <w:rPr>
                <w:sz w:val="19"/>
                <w:szCs w:val="19"/>
                <w:color w:val="auto"/>
              </w:rPr>
            </w:pPr>
          </w:p>
        </w:tc>
        <w:tc>
          <w:tcPr>
            <w:tcW w:w="10020" w:type="dxa"/>
            <w:vAlign w:val="bottom"/>
            <w:gridSpan w:val="13"/>
          </w:tcPr>
          <w:p>
            <w:pPr>
              <w:spacing w:after="0"/>
              <w:rPr>
                <w:sz w:val="20"/>
                <w:szCs w:val="20"/>
                <w:color w:val="auto"/>
              </w:rPr>
            </w:pPr>
            <w:r>
              <w:rPr>
                <w:rFonts w:ascii="Arial" w:cs="Arial" w:eastAsia="Arial" w:hAnsi="Arial"/>
                <w:sz w:val="14"/>
                <w:szCs w:val="14"/>
                <w:color w:val="0000FF"/>
              </w:rPr>
              <w:t>Certification of Ashish K. Khandpur, Chairman, President and Chief Executive Officer, pursuant to SEC Rules 13a-14(a) and 15d-14(a), adopted pursuant to</w:t>
            </w:r>
          </w:p>
        </w:tc>
      </w:tr>
      <w:tr>
        <w:trPr>
          <w:trHeight w:val="129"/>
        </w:trPr>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2"/>
          </w:tcPr>
          <w:p>
            <w:pPr>
              <w:spacing w:after="0" w:line="129" w:lineRule="exact"/>
              <w:rPr>
                <w:sz w:val="20"/>
                <w:szCs w:val="20"/>
                <w:color w:val="auto"/>
              </w:rPr>
            </w:pPr>
            <w:r>
              <w:rPr>
                <w:rFonts w:ascii="Arial" w:cs="Arial" w:eastAsia="Arial" w:hAnsi="Arial"/>
                <w:sz w:val="14"/>
                <w:szCs w:val="14"/>
                <w:color w:val="0000FF"/>
              </w:rPr>
              <w:t>Section 302 of the Sarbanes-Oxley Act of 2002</w:t>
            </w:r>
          </w:p>
        </w:tc>
        <w:tc>
          <w:tcPr>
            <w:tcW w:w="6900" w:type="dxa"/>
            <w:vAlign w:val="bottom"/>
            <w:tcBorders>
              <w:top w:val="single" w:sz="8" w:color="0000FF"/>
            </w:tcBorders>
            <w:gridSpan w:val="8"/>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23"/>
        </w:trPr>
        <w:tc>
          <w:tcPr>
            <w:tcW w:w="1040" w:type="dxa"/>
            <w:vAlign w:val="bottom"/>
            <w:gridSpan w:val="5"/>
          </w:tcPr>
          <w:p>
            <w:pPr>
              <w:spacing w:after="0"/>
              <w:rPr>
                <w:sz w:val="20"/>
                <w:szCs w:val="20"/>
                <w:color w:val="auto"/>
              </w:rPr>
            </w:pPr>
            <w:r>
              <w:rPr>
                <w:rFonts w:ascii="Arial" w:cs="Arial" w:eastAsia="Arial" w:hAnsi="Arial"/>
                <w:sz w:val="14"/>
                <w:szCs w:val="14"/>
                <w:color w:val="0000FF"/>
              </w:rPr>
              <w:t>31.</w:t>
            </w:r>
            <w:r>
              <w:rPr>
                <w:rFonts w:ascii="Arial" w:cs="Arial" w:eastAsia="Arial" w:hAnsi="Arial"/>
                <w:sz w:val="14"/>
                <w:szCs w:val="14"/>
                <w:u w:val="single" w:color="auto"/>
                <w:color w:val="0000FF"/>
              </w:rPr>
              <w:t>2**</w:t>
            </w:r>
          </w:p>
        </w:tc>
        <w:tc>
          <w:tcPr>
            <w:tcW w:w="120" w:type="dxa"/>
            <w:vAlign w:val="bottom"/>
          </w:tcPr>
          <w:p>
            <w:pPr>
              <w:spacing w:after="0"/>
              <w:rPr>
                <w:sz w:val="19"/>
                <w:szCs w:val="19"/>
                <w:color w:val="auto"/>
              </w:rPr>
            </w:pPr>
          </w:p>
        </w:tc>
        <w:tc>
          <w:tcPr>
            <w:tcW w:w="10020" w:type="dxa"/>
            <w:vAlign w:val="bottom"/>
            <w:gridSpan w:val="13"/>
          </w:tcPr>
          <w:p>
            <w:pPr>
              <w:spacing w:after="0"/>
              <w:rPr>
                <w:sz w:val="20"/>
                <w:szCs w:val="20"/>
                <w:color w:val="auto"/>
              </w:rPr>
            </w:pPr>
            <w:r>
              <w:rPr>
                <w:rFonts w:ascii="Arial" w:cs="Arial" w:eastAsia="Arial" w:hAnsi="Arial"/>
                <w:sz w:val="14"/>
                <w:szCs w:val="14"/>
                <w:color w:val="0000FF"/>
              </w:rPr>
              <w:t>Certification of Jamie A. Beggs, Senior Vice President and Chief Financial Officer, pursuant to SEC Rules 13a-14(a) and 15d-14(a), adopted pursuant to</w:t>
            </w:r>
          </w:p>
        </w:tc>
      </w:tr>
      <w:tr>
        <w:trPr>
          <w:trHeight w:val="129"/>
        </w:trPr>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2"/>
          </w:tcPr>
          <w:p>
            <w:pPr>
              <w:spacing w:after="0" w:line="129" w:lineRule="exact"/>
              <w:rPr>
                <w:sz w:val="20"/>
                <w:szCs w:val="20"/>
                <w:color w:val="auto"/>
              </w:rPr>
            </w:pPr>
            <w:r>
              <w:rPr>
                <w:rFonts w:ascii="Arial" w:cs="Arial" w:eastAsia="Arial" w:hAnsi="Arial"/>
                <w:sz w:val="14"/>
                <w:szCs w:val="14"/>
                <w:color w:val="0000FF"/>
              </w:rPr>
              <w:t>Section 302 of the Sarbanes-Oxley Act of 2002</w:t>
            </w:r>
          </w:p>
        </w:tc>
        <w:tc>
          <w:tcPr>
            <w:tcW w:w="6660" w:type="dxa"/>
            <w:vAlign w:val="bottom"/>
            <w:tcBorders>
              <w:top w:val="single" w:sz="8" w:color="0000FF"/>
            </w:tcBorders>
            <w:gridSpan w:val="4"/>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r>
      <w:tr>
        <w:trPr>
          <w:trHeight w:val="223"/>
        </w:trPr>
        <w:tc>
          <w:tcPr>
            <w:tcW w:w="360" w:type="dxa"/>
            <w:vAlign w:val="bottom"/>
            <w:gridSpan w:val="3"/>
          </w:tcPr>
          <w:p>
            <w:pPr>
              <w:spacing w:after="0"/>
              <w:rPr>
                <w:sz w:val="20"/>
                <w:szCs w:val="20"/>
                <w:color w:val="auto"/>
              </w:rPr>
            </w:pPr>
            <w:r>
              <w:rPr>
                <w:rFonts w:ascii="Arial" w:cs="Arial" w:eastAsia="Arial" w:hAnsi="Arial"/>
                <w:sz w:val="14"/>
                <w:szCs w:val="14"/>
                <w:color w:val="0000FF"/>
              </w:rPr>
              <w:t>32.</w:t>
            </w:r>
            <w:r>
              <w:rPr>
                <w:rFonts w:ascii="Arial" w:cs="Arial" w:eastAsia="Arial" w:hAnsi="Arial"/>
                <w:sz w:val="14"/>
                <w:szCs w:val="14"/>
                <w:u w:val="single" w:color="auto"/>
                <w:color w:val="0000FF"/>
              </w:rPr>
              <w:t>1*</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13"/>
          </w:tcPr>
          <w:p>
            <w:pPr>
              <w:spacing w:after="0"/>
              <w:rPr>
                <w:sz w:val="20"/>
                <w:szCs w:val="20"/>
                <w:color w:val="auto"/>
              </w:rPr>
            </w:pPr>
            <w:r>
              <w:rPr>
                <w:rFonts w:ascii="Arial" w:cs="Arial" w:eastAsia="Arial" w:hAnsi="Arial"/>
                <w:sz w:val="14"/>
                <w:szCs w:val="14"/>
                <w:color w:val="0000FF"/>
              </w:rPr>
              <w:t>Certification pursuant to 18 U.S.C. § 1350, adopted pursuant to Section 906 of the Sarbanes-Oxley Act of 2002, as signed by Ashish K. Khandpur, Chairman,</w:t>
            </w:r>
          </w:p>
        </w:tc>
      </w:tr>
      <w:tr>
        <w:trPr>
          <w:trHeight w:val="128"/>
        </w:trPr>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0" w:type="dxa"/>
            <w:vAlign w:val="bottom"/>
            <w:tcBorders>
              <w:top w:val="single" w:sz="8" w:color="0000FF"/>
            </w:tcBorders>
            <w:gridSpan w:val="12"/>
          </w:tcPr>
          <w:p>
            <w:pPr>
              <w:spacing w:after="0" w:line="129" w:lineRule="exact"/>
              <w:rPr>
                <w:sz w:val="20"/>
                <w:szCs w:val="20"/>
                <w:color w:val="auto"/>
              </w:rPr>
            </w:pPr>
            <w:r>
              <w:rPr>
                <w:rFonts w:ascii="Arial" w:cs="Arial" w:eastAsia="Arial" w:hAnsi="Arial"/>
                <w:sz w:val="14"/>
                <w:szCs w:val="14"/>
                <w:color w:val="0000FF"/>
              </w:rPr>
              <w:t>President and Chief Executive Officer</w:t>
            </w:r>
          </w:p>
        </w:tc>
        <w:tc>
          <w:tcPr>
            <w:tcW w:w="20" w:type="dxa"/>
            <w:vAlign w:val="bottom"/>
          </w:tcPr>
          <w:p>
            <w:pPr>
              <w:spacing w:after="0"/>
              <w:rPr>
                <w:sz w:val="11"/>
                <w:szCs w:val="11"/>
                <w:color w:val="auto"/>
              </w:rPr>
            </w:pPr>
          </w:p>
        </w:tc>
      </w:tr>
      <w:tr>
        <w:trPr>
          <w:trHeight w:val="20"/>
        </w:trPr>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7420" w:type="dxa"/>
            <w:vAlign w:val="bottom"/>
            <w:gridSpan w:val="6"/>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23"/>
        </w:trPr>
        <w:tc>
          <w:tcPr>
            <w:tcW w:w="360" w:type="dxa"/>
            <w:vAlign w:val="bottom"/>
            <w:gridSpan w:val="3"/>
          </w:tcPr>
          <w:p>
            <w:pPr>
              <w:spacing w:after="0"/>
              <w:rPr>
                <w:sz w:val="20"/>
                <w:szCs w:val="20"/>
                <w:color w:val="auto"/>
              </w:rPr>
            </w:pPr>
            <w:r>
              <w:rPr>
                <w:rFonts w:ascii="Arial" w:cs="Arial" w:eastAsia="Arial" w:hAnsi="Arial"/>
                <w:sz w:val="14"/>
                <w:szCs w:val="14"/>
                <w:color w:val="0000FF"/>
              </w:rPr>
              <w:t>32.</w:t>
            </w:r>
            <w:r>
              <w:rPr>
                <w:rFonts w:ascii="Arial" w:cs="Arial" w:eastAsia="Arial" w:hAnsi="Arial"/>
                <w:sz w:val="14"/>
                <w:szCs w:val="14"/>
                <w:u w:val="single" w:color="auto"/>
                <w:color w:val="0000FF"/>
              </w:rPr>
              <w:t>2*</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13"/>
          </w:tcPr>
          <w:p>
            <w:pPr>
              <w:spacing w:after="0"/>
              <w:rPr>
                <w:sz w:val="20"/>
                <w:szCs w:val="20"/>
                <w:color w:val="auto"/>
              </w:rPr>
            </w:pPr>
            <w:r>
              <w:rPr>
                <w:rFonts w:ascii="Arial" w:cs="Arial" w:eastAsia="Arial" w:hAnsi="Arial"/>
                <w:sz w:val="14"/>
                <w:szCs w:val="14"/>
                <w:color w:val="0000FF"/>
              </w:rPr>
              <w:t>Certification pursuant to 18 U.S.C. § 1350, adopted pursuant to Section 906 of the Sarbanes-Oxley Act of 2002, as signed by Jamie A. Beggs, Senior Vice</w:t>
            </w:r>
          </w:p>
        </w:tc>
      </w:tr>
      <w:tr>
        <w:trPr>
          <w:trHeight w:val="129"/>
        </w:trPr>
        <w:tc>
          <w:tcPr>
            <w:tcW w:w="2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4"/>
                <w:szCs w:val="14"/>
                <w:color w:val="0000FF"/>
              </w:rPr>
              <w:t>President and Chief Financial Officer</w:t>
            </w:r>
          </w:p>
        </w:tc>
        <w:tc>
          <w:tcPr>
            <w:tcW w:w="7420" w:type="dxa"/>
            <w:vAlign w:val="bottom"/>
            <w:tcBorders>
              <w:top w:val="single" w:sz="8" w:color="0000FF"/>
            </w:tcBorders>
            <w:gridSpan w:val="6"/>
          </w:tcPr>
          <w:p>
            <w:pPr>
              <w:spacing w:after="0"/>
              <w:rPr>
                <w:sz w:val="11"/>
                <w:szCs w:val="11"/>
                <w:color w:val="auto"/>
              </w:rPr>
            </w:pPr>
          </w:p>
        </w:tc>
        <w:tc>
          <w:tcPr>
            <w:tcW w:w="220" w:type="dxa"/>
            <w:vAlign w:val="bottom"/>
            <w:gridSpan w:val="6"/>
          </w:tcPr>
          <w:p>
            <w:pPr>
              <w:spacing w:after="0"/>
              <w:rPr>
                <w:sz w:val="11"/>
                <w:szCs w:val="11"/>
                <w:color w:val="auto"/>
              </w:rPr>
            </w:pPr>
          </w:p>
        </w:tc>
      </w:tr>
      <w:tr>
        <w:trPr>
          <w:trHeight w:val="255"/>
        </w:trPr>
        <w:tc>
          <w:tcPr>
            <w:tcW w:w="1160" w:type="dxa"/>
            <w:vAlign w:val="bottom"/>
            <w:gridSpan w:val="6"/>
          </w:tcPr>
          <w:p>
            <w:pPr>
              <w:spacing w:after="0"/>
              <w:rPr>
                <w:sz w:val="20"/>
                <w:szCs w:val="20"/>
                <w:color w:val="auto"/>
              </w:rPr>
            </w:pPr>
            <w:r>
              <w:rPr>
                <w:rFonts w:ascii="Arial" w:cs="Arial" w:eastAsia="Arial" w:hAnsi="Arial"/>
                <w:sz w:val="14"/>
                <w:szCs w:val="14"/>
                <w:color w:val="auto"/>
              </w:rPr>
              <w:t>101.INS</w:t>
            </w:r>
          </w:p>
        </w:tc>
        <w:tc>
          <w:tcPr>
            <w:tcW w:w="10020" w:type="dxa"/>
            <w:vAlign w:val="bottom"/>
            <w:gridSpan w:val="13"/>
          </w:tcPr>
          <w:p>
            <w:pPr>
              <w:spacing w:after="0"/>
              <w:rPr>
                <w:sz w:val="20"/>
                <w:szCs w:val="20"/>
                <w:color w:val="auto"/>
              </w:rPr>
            </w:pPr>
            <w:r>
              <w:rPr>
                <w:rFonts w:ascii="Arial" w:cs="Arial" w:eastAsia="Arial" w:hAnsi="Arial"/>
                <w:sz w:val="14"/>
                <w:szCs w:val="14"/>
                <w:color w:val="auto"/>
              </w:rPr>
              <w:t>Inline XBRL Instance Document</w:t>
            </w:r>
          </w:p>
        </w:tc>
      </w:tr>
      <w:tr>
        <w:trPr>
          <w:trHeight w:val="257"/>
        </w:trPr>
        <w:tc>
          <w:tcPr>
            <w:tcW w:w="1160" w:type="dxa"/>
            <w:vAlign w:val="bottom"/>
            <w:gridSpan w:val="6"/>
          </w:tcPr>
          <w:p>
            <w:pPr>
              <w:spacing w:after="0"/>
              <w:rPr>
                <w:sz w:val="20"/>
                <w:szCs w:val="20"/>
                <w:color w:val="auto"/>
              </w:rPr>
            </w:pPr>
            <w:r>
              <w:rPr>
                <w:rFonts w:ascii="Arial" w:cs="Arial" w:eastAsia="Arial" w:hAnsi="Arial"/>
                <w:sz w:val="14"/>
                <w:szCs w:val="14"/>
                <w:color w:val="auto"/>
              </w:rPr>
              <w:t>101.SCH</w:t>
            </w:r>
          </w:p>
        </w:tc>
        <w:tc>
          <w:tcPr>
            <w:tcW w:w="10020" w:type="dxa"/>
            <w:vAlign w:val="bottom"/>
            <w:gridSpan w:val="13"/>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57"/>
        </w:trPr>
        <w:tc>
          <w:tcPr>
            <w:tcW w:w="1160" w:type="dxa"/>
            <w:vAlign w:val="bottom"/>
            <w:gridSpan w:val="6"/>
          </w:tcPr>
          <w:p>
            <w:pPr>
              <w:spacing w:after="0"/>
              <w:rPr>
                <w:sz w:val="20"/>
                <w:szCs w:val="20"/>
                <w:color w:val="auto"/>
              </w:rPr>
            </w:pPr>
            <w:r>
              <w:rPr>
                <w:rFonts w:ascii="Arial" w:cs="Arial" w:eastAsia="Arial" w:hAnsi="Arial"/>
                <w:sz w:val="14"/>
                <w:szCs w:val="14"/>
                <w:color w:val="auto"/>
              </w:rPr>
              <w:t>101.CAL</w:t>
            </w:r>
          </w:p>
        </w:tc>
        <w:tc>
          <w:tcPr>
            <w:tcW w:w="10020" w:type="dxa"/>
            <w:vAlign w:val="bottom"/>
            <w:gridSpan w:val="13"/>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57"/>
        </w:trPr>
        <w:tc>
          <w:tcPr>
            <w:tcW w:w="1160" w:type="dxa"/>
            <w:vAlign w:val="bottom"/>
            <w:gridSpan w:val="6"/>
          </w:tcPr>
          <w:p>
            <w:pPr>
              <w:spacing w:after="0"/>
              <w:rPr>
                <w:sz w:val="20"/>
                <w:szCs w:val="20"/>
                <w:color w:val="auto"/>
              </w:rPr>
            </w:pPr>
            <w:r>
              <w:rPr>
                <w:rFonts w:ascii="Arial" w:cs="Arial" w:eastAsia="Arial" w:hAnsi="Arial"/>
                <w:sz w:val="14"/>
                <w:szCs w:val="14"/>
                <w:color w:val="auto"/>
              </w:rPr>
              <w:t>101.DEF</w:t>
            </w:r>
          </w:p>
        </w:tc>
        <w:tc>
          <w:tcPr>
            <w:tcW w:w="10020" w:type="dxa"/>
            <w:vAlign w:val="bottom"/>
            <w:gridSpan w:val="13"/>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56"/>
        </w:trPr>
        <w:tc>
          <w:tcPr>
            <w:tcW w:w="1160" w:type="dxa"/>
            <w:vAlign w:val="bottom"/>
            <w:gridSpan w:val="6"/>
          </w:tcPr>
          <w:p>
            <w:pPr>
              <w:spacing w:after="0"/>
              <w:rPr>
                <w:sz w:val="20"/>
                <w:szCs w:val="20"/>
                <w:color w:val="auto"/>
              </w:rPr>
            </w:pPr>
            <w:r>
              <w:rPr>
                <w:rFonts w:ascii="Arial" w:cs="Arial" w:eastAsia="Arial" w:hAnsi="Arial"/>
                <w:sz w:val="14"/>
                <w:szCs w:val="14"/>
                <w:color w:val="auto"/>
              </w:rPr>
              <w:t>101.LAB</w:t>
            </w:r>
          </w:p>
        </w:tc>
        <w:tc>
          <w:tcPr>
            <w:tcW w:w="10020" w:type="dxa"/>
            <w:vAlign w:val="bottom"/>
            <w:gridSpan w:val="13"/>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57"/>
        </w:trPr>
        <w:tc>
          <w:tcPr>
            <w:tcW w:w="1160" w:type="dxa"/>
            <w:vAlign w:val="bottom"/>
            <w:gridSpan w:val="6"/>
          </w:tcPr>
          <w:p>
            <w:pPr>
              <w:spacing w:after="0"/>
              <w:rPr>
                <w:sz w:val="20"/>
                <w:szCs w:val="20"/>
                <w:color w:val="auto"/>
              </w:rPr>
            </w:pPr>
            <w:r>
              <w:rPr>
                <w:rFonts w:ascii="Arial" w:cs="Arial" w:eastAsia="Arial" w:hAnsi="Arial"/>
                <w:sz w:val="14"/>
                <w:szCs w:val="14"/>
                <w:color w:val="auto"/>
              </w:rPr>
              <w:t>101.PRE</w:t>
            </w:r>
          </w:p>
        </w:tc>
        <w:tc>
          <w:tcPr>
            <w:tcW w:w="10020" w:type="dxa"/>
            <w:vAlign w:val="bottom"/>
            <w:gridSpan w:val="13"/>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257"/>
        </w:trPr>
        <w:tc>
          <w:tcPr>
            <w:tcW w:w="340" w:type="dxa"/>
            <w:vAlign w:val="bottom"/>
            <w:gridSpan w:val="2"/>
          </w:tcPr>
          <w:p>
            <w:pPr>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13"/>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66" w:lineRule="exact"/>
        <w:rPr>
          <w:sz w:val="20"/>
          <w:szCs w:val="20"/>
          <w:color w:val="auto"/>
        </w:rPr>
      </w:pPr>
    </w:p>
    <w:p>
      <w:pPr>
        <w:ind w:left="1200" w:right="80" w:hanging="1154"/>
        <w:spacing w:after="0" w:line="264" w:lineRule="auto"/>
        <w:tabs>
          <w:tab w:leader="none" w:pos="1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contract or arrangement in which one or more directors or executive officers of the Registrant may be participants</w:t>
      </w:r>
    </w:p>
    <w:p>
      <w:pPr>
        <w:spacing w:after="0" w:line="37" w:lineRule="exact"/>
        <w:rPr>
          <w:sz w:val="20"/>
          <w:szCs w:val="20"/>
          <w:color w:val="auto"/>
        </w:rPr>
      </w:pPr>
    </w:p>
    <w:p>
      <w:pPr>
        <w:ind w:left="1200" w:hanging="1154"/>
        <w:spacing w:after="0"/>
        <w:tabs>
          <w:tab w:leader="none" w:pos="1200" w:val="left"/>
        </w:tabs>
        <w:numPr>
          <w:ilvl w:val="0"/>
          <w:numId w:val="7"/>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09" w:lineRule="exact"/>
        <w:rPr>
          <w:sz w:val="20"/>
          <w:szCs w:val="20"/>
          <w:color w:val="auto"/>
        </w:rPr>
      </w:pPr>
    </w:p>
    <w:p>
      <w:pPr>
        <w:ind w:left="1200" w:hanging="1154"/>
        <w:spacing w:after="0"/>
        <w:tabs>
          <w:tab w:leader="none" w:pos="1200" w:val="left"/>
        </w:tabs>
        <w:numPr>
          <w:ilvl w:val="0"/>
          <w:numId w:val="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AVIENT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tabs>
          <w:tab w:leader="none" w:pos="3200" w:val="left"/>
        </w:tabs>
        <w:rPr>
          <w:sz w:val="20"/>
          <w:szCs w:val="20"/>
          <w:color w:val="auto"/>
        </w:rPr>
      </w:pPr>
      <w:r>
        <w:rPr>
          <w:rFonts w:ascii="Arial" w:cs="Arial" w:eastAsia="Arial" w:hAnsi="Arial"/>
          <w:sz w:val="18"/>
          <w:szCs w:val="18"/>
          <w:color w:val="auto"/>
        </w:rPr>
        <w:t>May 7, 2026</w:t>
      </w:r>
      <w:r>
        <w:rPr>
          <w:sz w:val="20"/>
          <w:szCs w:val="20"/>
          <w:color w:val="auto"/>
        </w:rPr>
        <w:tab/>
      </w:r>
      <w:r>
        <w:rPr>
          <w:rFonts w:ascii="Arial" w:cs="Arial" w:eastAsia="Arial" w:hAnsi="Arial"/>
          <w:sz w:val="17"/>
          <w:szCs w:val="17"/>
          <w:color w:val="auto"/>
        </w:rPr>
        <w:t>AVIENT CORPORATION</w:t>
      </w:r>
    </w:p>
    <w:p>
      <w:pPr>
        <w:spacing w:after="0" w:line="29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 Jamie A. Beggs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17780</wp:posOffset>
            </wp:positionV>
            <wp:extent cx="50920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Jamie A. Beggs</w:t>
      </w:r>
    </w:p>
    <w:p>
      <w:pPr>
        <w:ind w:left="32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AVIENT CORPORATION</w:t>
      </w:r>
    </w:p>
    <w:p>
      <w:pPr>
        <w:sectPr>
          <w:pgSz w:w="11900" w:h="16838" w:orient="portrait"/>
          <w:cols w:equalWidth="0" w:num="1">
            <w:col w:w="11220"/>
          </w:cols>
          <w:pgMar w:left="320" w:top="1052" w:right="35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Ashish K. Khandpur,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Avient Corporation;</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980" w:right="60" w:hanging="324"/>
        <w:spacing w:after="0" w:line="250" w:lineRule="auto"/>
        <w:tabs>
          <w:tab w:leader="none" w:pos="9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980" w:right="780" w:hanging="324"/>
        <w:spacing w:after="0" w:line="250" w:lineRule="auto"/>
        <w:tabs>
          <w:tab w:leader="none" w:pos="9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Ashish K. Khandpur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Ashish K. Khandpur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8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Jamie A. Beggs,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Avient Corporation;</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5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980" w:right="60" w:hanging="324"/>
        <w:spacing w:after="0" w:line="250" w:lineRule="auto"/>
        <w:tabs>
          <w:tab w:leader="none" w:pos="9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980" w:right="780" w:hanging="324"/>
        <w:spacing w:after="0" w:line="250" w:lineRule="auto"/>
        <w:tabs>
          <w:tab w:leader="none" w:pos="9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Jamie A. Beggs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Jamie A. Beggs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8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Avient Corporation (the “Company”) for the period ended March 31, 2026, as filed with the Securities and Exchange Commission on the date hereof (the “Report”), I, Ashish K. Khandpur, Chairman, President and Chief Executive Officer of the Company, do hereby certify, pursuant to 18 U.S.C. § 1350, as adopted pursuant to § 906 of the Sarbanes-Oxley Act of 2002, that, to my knowledge:</w:t>
      </w:r>
    </w:p>
    <w:p>
      <w:pPr>
        <w:spacing w:after="0" w:line="365"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Ashish K. Khandpur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3926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Ashish K. Khandpur</w:t>
      </w:r>
    </w:p>
    <w:p>
      <w:pPr>
        <w:spacing w:after="0" w:line="27" w:lineRule="exact"/>
        <w:rPr>
          <w:sz w:val="20"/>
          <w:szCs w:val="20"/>
          <w:color w:val="auto"/>
        </w:rPr>
      </w:pPr>
    </w:p>
    <w:p>
      <w:pPr>
        <w:ind w:right="2820" w:firstLine="648"/>
        <w:spacing w:after="0" w:line="213" w:lineRule="auto"/>
        <w:rPr>
          <w:sz w:val="20"/>
          <w:szCs w:val="20"/>
          <w:color w:val="auto"/>
        </w:rPr>
      </w:pPr>
      <w:r>
        <w:rPr>
          <w:rFonts w:ascii="Times New Roman" w:cs="Times New Roman" w:eastAsia="Times New Roman" w:hAnsi="Times New Roman"/>
          <w:sz w:val="18"/>
          <w:szCs w:val="18"/>
          <w:color w:val="auto"/>
        </w:rPr>
        <w:t>as of the dates and for the periods expressed in the Report.</w:t>
      </w:r>
      <w:r>
        <w:rPr>
          <w:rFonts w:ascii="Times New Roman" w:cs="Times New Roman" w:eastAsia="Times New Roman" w:hAnsi="Times New Roman"/>
          <w:sz w:val="35"/>
          <w:szCs w:val="35"/>
          <w:color w:val="auto"/>
          <w:vertAlign w:val="superscript"/>
        </w:rPr>
        <w:t>Chairman, President and Chief Executive Officer</w:t>
      </w:r>
      <w:r>
        <w:rPr>
          <w:rFonts w:ascii="Times New Roman" w:cs="Times New Roman" w:eastAsia="Times New Roman" w:hAnsi="Times New Roman"/>
          <w:sz w:val="18"/>
          <w:szCs w:val="18"/>
          <w:color w:val="auto"/>
        </w:rPr>
        <w:t xml:space="preserve"> May 7, 2026</w:t>
      </w:r>
    </w:p>
    <w:p>
      <w:pPr>
        <w:spacing w:after="0" w:line="14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240"/>
          </w:cols>
          <w:pgMar w:left="320" w:top="88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Avient Corporation (the “Company”) for the period ended March 31, 2026, as filed with the Securities and Exchange Commission on the date hereof (the “Report”), I, Jamie A. Beggs, Senior Vice President and Chief Financial Officer of the Company, do hereby certify, pursuant to 18 U.S.C. § 1350, as adopted pursuant to § 906 of the Sarbanes-Oxley Act of 2002, that, to my knowledge:</w:t>
      </w:r>
    </w:p>
    <w:p>
      <w:pPr>
        <w:spacing w:after="0" w:line="347"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Jamie A. Beggs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3926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Jamie A. Beggs</w:t>
      </w:r>
    </w:p>
    <w:p>
      <w:pPr>
        <w:spacing w:after="0" w:line="27" w:lineRule="exact"/>
        <w:rPr>
          <w:sz w:val="20"/>
          <w:szCs w:val="20"/>
          <w:color w:val="auto"/>
        </w:rPr>
      </w:pPr>
    </w:p>
    <w:p>
      <w:pPr>
        <w:ind w:right="2780" w:firstLine="648"/>
        <w:spacing w:after="0" w:line="213" w:lineRule="auto"/>
        <w:rPr>
          <w:sz w:val="20"/>
          <w:szCs w:val="20"/>
          <w:color w:val="auto"/>
        </w:rPr>
      </w:pPr>
      <w:r>
        <w:rPr>
          <w:rFonts w:ascii="Times New Roman" w:cs="Times New Roman" w:eastAsia="Times New Roman" w:hAnsi="Times New Roman"/>
          <w:sz w:val="18"/>
          <w:szCs w:val="18"/>
          <w:color w:val="auto"/>
        </w:rPr>
        <w:t>as of the dates and for the periods expressed in the Report.</w:t>
      </w:r>
      <w:r>
        <w:rPr>
          <w:rFonts w:ascii="Times New Roman" w:cs="Times New Roman" w:eastAsia="Times New Roman" w:hAnsi="Times New Roman"/>
          <w:sz w:val="35"/>
          <w:szCs w:val="35"/>
          <w:color w:val="auto"/>
          <w:vertAlign w:val="superscript"/>
        </w:rPr>
        <w:t>Senior Vice President and Chief Financial Officer</w:t>
      </w:r>
      <w:r>
        <w:rPr>
          <w:rFonts w:ascii="Times New Roman" w:cs="Times New Roman" w:eastAsia="Times New Roman" w:hAnsi="Times New Roman"/>
          <w:sz w:val="18"/>
          <w:szCs w:val="18"/>
          <w:color w:val="auto"/>
        </w:rPr>
        <w:t xml:space="preserve"> May 7, 2026</w:t>
      </w:r>
    </w:p>
    <w:p>
      <w:pPr>
        <w:spacing w:after="0" w:line="14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8" Type="http://schemas.openxmlformats.org/officeDocument/2006/relationships/hyperlink" Target="https://www.sec.gov/Archives/edgar/data/1122976/000112297621000014/avnt-ex31_20201231.htm" TargetMode="External"/><Relationship Id="rId49" Type="http://schemas.openxmlformats.org/officeDocument/2006/relationships/hyperlink" Target="https://www.sec.gov/Archives/edgar/data/1122976/000112297623000028/avnt-exx31_20230511.htm" TargetMode="External"/><Relationship Id="rId50" Type="http://schemas.openxmlformats.org/officeDocument/2006/relationships/hyperlink" Target="https://www.sec.gov/Archives/edgar/data/1122976/000112297626000039/avnt-ex1029_2025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2026-05-07T09:29:22Z</dcterms:created>
  <dcterms:modified xsi:type="dcterms:W3CDTF">2026-05-07T09:29:22Z</dcterms:modified>
</cp:coreProperties>
</file>